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B"/>
  <w:body>
    <w:p w14:paraId="1D02BF37" w14:textId="77777777" w:rsidR="002826B5" w:rsidRPr="00472126" w:rsidRDefault="00B94C4F" w:rsidP="00A10FA0">
      <w:pPr>
        <w:pStyle w:val="ArticleType"/>
      </w:pPr>
      <w:r w:rsidRPr="00472126">
        <w:t>Original Article</w:t>
      </w:r>
    </w:p>
    <w:p w14:paraId="0D6E5822" w14:textId="6B1F6B87" w:rsidR="00D10EA4" w:rsidRPr="00472126" w:rsidRDefault="002A62E6" w:rsidP="002A62E6">
      <w:pPr>
        <w:pStyle w:val="Topic"/>
        <w:rPr>
          <w:color w:val="404040" w:themeColor="text1" w:themeTint="BF"/>
          <w:lang w:val="en-US"/>
        </w:rPr>
      </w:pPr>
      <w:r w:rsidRPr="00472126">
        <w:rPr>
          <w:color w:val="404040" w:themeColor="text1" w:themeTint="BF"/>
        </w:rPr>
        <w:t>Shock Index and Modified Shock Index Are Predictors of Long-Term Mortality in STEMI and NSTEMI Patients</w:t>
      </w:r>
    </w:p>
    <w:p w14:paraId="5D37B7D6" w14:textId="6C8F2027" w:rsidR="00D10EA4" w:rsidRPr="00472126" w:rsidRDefault="002A62E6" w:rsidP="002A62E6">
      <w:pPr>
        <w:pStyle w:val="Authors"/>
        <w:rPr>
          <w:szCs w:val="16"/>
          <w:vertAlign w:val="superscript"/>
          <w:lang w:val="en-US"/>
        </w:rPr>
      </w:pPr>
      <w:r w:rsidRPr="00472126">
        <w:rPr>
          <w:szCs w:val="16"/>
        </w:rPr>
        <w:t>Aqeel Zarait</w:t>
      </w:r>
      <w:r w:rsidRPr="00472126">
        <w:rPr>
          <w:szCs w:val="16"/>
          <w:vertAlign w:val="superscript"/>
        </w:rPr>
        <w:t>1</w:t>
      </w:r>
      <w:r w:rsidRPr="00472126">
        <w:rPr>
          <w:szCs w:val="16"/>
        </w:rPr>
        <w:t xml:space="preserve">, Akhtar Ali </w:t>
      </w:r>
      <w:proofErr w:type="spellStart"/>
      <w:r w:rsidRPr="00472126">
        <w:rPr>
          <w:szCs w:val="16"/>
        </w:rPr>
        <w:t>Bandeshah</w:t>
      </w:r>
      <w:proofErr w:type="spellEnd"/>
      <w:r w:rsidRPr="00472126">
        <w:rPr>
          <w:szCs w:val="16"/>
          <w:vertAlign w:val="superscript"/>
        </w:rPr>
        <w:t>*1</w:t>
      </w:r>
      <w:r w:rsidRPr="00472126">
        <w:rPr>
          <w:szCs w:val="16"/>
        </w:rPr>
        <w:t>, Rabiya Irshad</w:t>
      </w:r>
      <w:r w:rsidRPr="00472126">
        <w:rPr>
          <w:szCs w:val="16"/>
          <w:vertAlign w:val="superscript"/>
        </w:rPr>
        <w:t>2</w:t>
      </w:r>
      <w:r w:rsidRPr="00472126">
        <w:rPr>
          <w:szCs w:val="16"/>
        </w:rPr>
        <w:t>, Muhammad Asif Nawaz Khan</w:t>
      </w:r>
      <w:r w:rsidRPr="00472126">
        <w:rPr>
          <w:szCs w:val="16"/>
          <w:vertAlign w:val="superscript"/>
        </w:rPr>
        <w:t>1</w:t>
      </w:r>
      <w:r w:rsidRPr="00472126">
        <w:rPr>
          <w:szCs w:val="16"/>
        </w:rPr>
        <w:t>, Ali Raza Hayat</w:t>
      </w:r>
      <w:r w:rsidRPr="00472126">
        <w:rPr>
          <w:szCs w:val="16"/>
          <w:vertAlign w:val="superscript"/>
        </w:rPr>
        <w:t>3</w:t>
      </w:r>
      <w:r w:rsidRPr="00472126">
        <w:rPr>
          <w:szCs w:val="16"/>
        </w:rPr>
        <w:t>, Sidra Zahoor</w:t>
      </w:r>
      <w:r w:rsidRPr="00472126">
        <w:rPr>
          <w:szCs w:val="16"/>
          <w:vertAlign w:val="superscript"/>
        </w:rPr>
        <w:t>1</w:t>
      </w:r>
    </w:p>
    <w:p w14:paraId="3D948261" w14:textId="2F2C3054" w:rsidR="00D10EA4" w:rsidRPr="00472126" w:rsidRDefault="002A62E6" w:rsidP="002A62E6">
      <w:pPr>
        <w:pStyle w:val="Affilitations"/>
        <w:spacing w:line="360" w:lineRule="auto"/>
        <w:rPr>
          <w:szCs w:val="16"/>
          <w:lang w:val="en-US"/>
        </w:rPr>
      </w:pPr>
      <w:r w:rsidRPr="00472126">
        <w:rPr>
          <w:szCs w:val="16"/>
        </w:rPr>
        <w:t>Pakistan Institute of Medical Sciences, Islamabad</w:t>
      </w:r>
      <w:r w:rsidR="00D10EA4" w:rsidRPr="00472126">
        <w:rPr>
          <w:szCs w:val="16"/>
          <w:lang w:val="en-US"/>
        </w:rPr>
        <w:t>, Pakistan</w:t>
      </w:r>
    </w:p>
    <w:p w14:paraId="2FDB1A1B" w14:textId="0476C726" w:rsidR="002A62E6" w:rsidRPr="00472126" w:rsidRDefault="002A62E6" w:rsidP="002A62E6">
      <w:pPr>
        <w:pStyle w:val="Affilitations"/>
        <w:spacing w:line="360" w:lineRule="auto"/>
        <w:rPr>
          <w:szCs w:val="16"/>
          <w:lang w:val="en-US"/>
        </w:rPr>
      </w:pPr>
      <w:r w:rsidRPr="00472126">
        <w:rPr>
          <w:szCs w:val="16"/>
        </w:rPr>
        <w:t>C</w:t>
      </w:r>
      <w:r w:rsidRPr="00472126">
        <w:rPr>
          <w:szCs w:val="16"/>
        </w:rPr>
        <w:t xml:space="preserve">ombined </w:t>
      </w:r>
      <w:r w:rsidRPr="00472126">
        <w:rPr>
          <w:szCs w:val="16"/>
        </w:rPr>
        <w:t>M</w:t>
      </w:r>
      <w:r w:rsidRPr="00472126">
        <w:rPr>
          <w:szCs w:val="16"/>
        </w:rPr>
        <w:t xml:space="preserve">ilitary </w:t>
      </w:r>
      <w:r w:rsidRPr="00472126">
        <w:rPr>
          <w:szCs w:val="16"/>
        </w:rPr>
        <w:t>H</w:t>
      </w:r>
      <w:r w:rsidRPr="00472126">
        <w:rPr>
          <w:szCs w:val="16"/>
        </w:rPr>
        <w:t>ospital</w:t>
      </w:r>
      <w:r w:rsidRPr="00472126">
        <w:rPr>
          <w:szCs w:val="16"/>
        </w:rPr>
        <w:t>, Rawalakot, Pakistan</w:t>
      </w:r>
    </w:p>
    <w:p w14:paraId="3A2C95D2" w14:textId="04B40D86" w:rsidR="002A62E6" w:rsidRPr="00472126" w:rsidRDefault="002A62E6" w:rsidP="002A62E6">
      <w:pPr>
        <w:pStyle w:val="Affilitations"/>
        <w:spacing w:line="360" w:lineRule="auto"/>
        <w:rPr>
          <w:szCs w:val="16"/>
          <w:lang w:val="en-US"/>
        </w:rPr>
      </w:pPr>
      <w:r w:rsidRPr="00472126">
        <w:rPr>
          <w:szCs w:val="16"/>
          <w:lang w:val="en-US"/>
        </w:rPr>
        <w:t>Maroof International Hospital, Islamabad, Pakistan</w:t>
      </w:r>
    </w:p>
    <w:p w14:paraId="055AA3D3" w14:textId="5507A272" w:rsidR="00D10EA4" w:rsidRPr="00472126" w:rsidRDefault="00D10EA4" w:rsidP="002A62E6">
      <w:pPr>
        <w:pStyle w:val="Corresponding"/>
        <w:spacing w:line="360" w:lineRule="auto"/>
        <w:rPr>
          <w:szCs w:val="16"/>
        </w:rPr>
      </w:pPr>
      <w:r w:rsidRPr="00472126">
        <w:rPr>
          <w:szCs w:val="16"/>
        </w:rPr>
        <w:t xml:space="preserve">Corresponding author: </w:t>
      </w:r>
      <w:r w:rsidR="002A62E6" w:rsidRPr="00472126">
        <w:rPr>
          <w:szCs w:val="16"/>
        </w:rPr>
        <w:t>akhtaralibandeshah@gmail.com</w:t>
      </w:r>
    </w:p>
    <w:p w14:paraId="014B8E4D" w14:textId="7B955E3C" w:rsidR="00165D4C" w:rsidRPr="00472126" w:rsidRDefault="00BD0438" w:rsidP="00BC3D79">
      <w:pPr>
        <w:pStyle w:val="Corresponding"/>
        <w:spacing w:line="360" w:lineRule="auto"/>
        <w:rPr>
          <w:szCs w:val="16"/>
        </w:rPr>
      </w:pPr>
      <w:r w:rsidRPr="00472126">
        <w:rPr>
          <w:szCs w:val="16"/>
        </w:rPr>
        <w:t xml:space="preserve">Keywords: </w:t>
      </w:r>
      <w:r w:rsidR="00BC3D79" w:rsidRPr="00472126">
        <w:rPr>
          <w:szCs w:val="16"/>
        </w:rPr>
        <w:t>Shock Index, Modified Shock Index, STEMI, NSTEMI, Long-term Mortality, Cox Regression, Kaplan-Meier Analysis</w:t>
      </w:r>
    </w:p>
    <w:p w14:paraId="4A9EDFBC" w14:textId="77777777" w:rsidR="00D10EA4" w:rsidRPr="00472126" w:rsidRDefault="00D10EA4" w:rsidP="001E4BD4">
      <w:pPr>
        <w:pStyle w:val="IntenseQuote"/>
        <w:spacing w:line="360" w:lineRule="auto"/>
        <w:rPr>
          <w:b/>
          <w:bCs/>
          <w:sz w:val="20"/>
          <w:lang w:val="en-US"/>
        </w:rPr>
      </w:pPr>
      <w:r w:rsidRPr="00472126">
        <w:rPr>
          <w:b/>
          <w:bCs/>
          <w:sz w:val="20"/>
          <w:lang w:val="en-US"/>
        </w:rPr>
        <w:t>Abstract</w:t>
      </w:r>
    </w:p>
    <w:p w14:paraId="4C30EB04" w14:textId="4128F038" w:rsidR="00BC3D79" w:rsidRPr="00472126" w:rsidRDefault="00BC3D79" w:rsidP="00BC3D79">
      <w:pPr>
        <w:pStyle w:val="IntenseQuote"/>
        <w:spacing w:line="360" w:lineRule="auto"/>
        <w:rPr>
          <w:szCs w:val="16"/>
          <w:lang w:val="en-PK"/>
        </w:rPr>
      </w:pPr>
      <w:r w:rsidRPr="00472126">
        <w:rPr>
          <w:b/>
          <w:bCs/>
          <w:szCs w:val="16"/>
          <w:lang w:val="en-PK"/>
        </w:rPr>
        <w:t>Background:</w:t>
      </w:r>
      <w:r w:rsidRPr="00472126">
        <w:rPr>
          <w:szCs w:val="16"/>
          <w:lang w:val="en-PK"/>
        </w:rPr>
        <w:t xml:space="preserve"> </w:t>
      </w:r>
      <w:r w:rsidRPr="00472126">
        <w:rPr>
          <w:szCs w:val="16"/>
          <w:lang w:val="en-PK"/>
        </w:rPr>
        <w:t>Acute coronary syndromes (ACS), including STEMI and NSTEMI, are leading causes of mortality worldwide. The Shock Index (SI) and Modified Shock Index (MSI) are non-invasive markers traditionally used to assess hemodynamic status but their role in predicting long-term mortality in ACS patients is less understood.</w:t>
      </w:r>
    </w:p>
    <w:p w14:paraId="0BB4DD9C" w14:textId="0B7EF0CF" w:rsidR="00BC3D79" w:rsidRPr="00BC3D79" w:rsidRDefault="00BC3D79" w:rsidP="00BC3D79">
      <w:pPr>
        <w:pStyle w:val="IntenseQuote"/>
        <w:spacing w:line="360" w:lineRule="auto"/>
        <w:rPr>
          <w:szCs w:val="16"/>
          <w:lang w:val="en-PK"/>
        </w:rPr>
      </w:pPr>
      <w:r w:rsidRPr="00BC3D79">
        <w:rPr>
          <w:b/>
          <w:bCs/>
          <w:szCs w:val="16"/>
          <w:lang w:val="en-PK"/>
        </w:rPr>
        <w:t>Objective:</w:t>
      </w:r>
      <w:r w:rsidRPr="00472126">
        <w:rPr>
          <w:szCs w:val="16"/>
          <w:lang w:val="en-PK"/>
        </w:rPr>
        <w:t xml:space="preserve"> </w:t>
      </w:r>
      <w:r w:rsidRPr="00BC3D79">
        <w:rPr>
          <w:szCs w:val="16"/>
          <w:lang w:val="en-PK"/>
        </w:rPr>
        <w:t>To evaluate the prognostic value of SI and MSI in predicting long-term mortality among patients with STEMI and NSTEMI.</w:t>
      </w:r>
    </w:p>
    <w:p w14:paraId="34A66564" w14:textId="475DCD8F" w:rsidR="00BC3D79" w:rsidRPr="00BC3D79" w:rsidRDefault="00BC3D79" w:rsidP="00BC3D79">
      <w:pPr>
        <w:pStyle w:val="IntenseQuote"/>
        <w:spacing w:line="360" w:lineRule="auto"/>
        <w:rPr>
          <w:szCs w:val="16"/>
          <w:lang w:val="en-PK"/>
        </w:rPr>
      </w:pPr>
      <w:r w:rsidRPr="00BC3D79">
        <w:rPr>
          <w:b/>
          <w:bCs/>
          <w:szCs w:val="16"/>
          <w:lang w:val="en-PK"/>
        </w:rPr>
        <w:t>Methods:</w:t>
      </w:r>
      <w:r w:rsidRPr="00472126">
        <w:rPr>
          <w:szCs w:val="16"/>
          <w:lang w:val="en-PK"/>
        </w:rPr>
        <w:t xml:space="preserve"> </w:t>
      </w:r>
      <w:r w:rsidRPr="00BC3D79">
        <w:rPr>
          <w:szCs w:val="16"/>
          <w:lang w:val="en-PK"/>
        </w:rPr>
        <w:t xml:space="preserve">A prospective cohort study was conducted on 275 consecutive patients diagnosed with STEMI and NSTEMI at the Department of Cardiology, PIMS, Islamabad, between March 1, 2024, and July 31, 2024. Patients were divided into two groups: Group 1 (n=138) assessed using SI and Group 2 (n=137) using MSI. Follow-up for three years was conducted to record all-cause mortality. Data were </w:t>
      </w:r>
      <w:proofErr w:type="spellStart"/>
      <w:r w:rsidRPr="00BC3D79">
        <w:rPr>
          <w:szCs w:val="16"/>
          <w:lang w:val="en-PK"/>
        </w:rPr>
        <w:t>analyzed</w:t>
      </w:r>
      <w:proofErr w:type="spellEnd"/>
      <w:r w:rsidRPr="00BC3D79">
        <w:rPr>
          <w:szCs w:val="16"/>
          <w:lang w:val="en-PK"/>
        </w:rPr>
        <w:t xml:space="preserve"> using SPSS version 25.0, with Cox proportional hazards regression and Kaplan-Meier survival analysis employed to assess mortality risk.</w:t>
      </w:r>
    </w:p>
    <w:p w14:paraId="6E8C7E40" w14:textId="4AA0661D" w:rsidR="00BC3D79" w:rsidRPr="00BC3D79" w:rsidRDefault="00BC3D79" w:rsidP="00BC3D79">
      <w:pPr>
        <w:pStyle w:val="IntenseQuote"/>
        <w:spacing w:line="360" w:lineRule="auto"/>
        <w:rPr>
          <w:szCs w:val="16"/>
          <w:lang w:val="en-PK"/>
        </w:rPr>
      </w:pPr>
      <w:r w:rsidRPr="00BC3D79">
        <w:rPr>
          <w:b/>
          <w:bCs/>
          <w:szCs w:val="16"/>
          <w:lang w:val="en-PK"/>
        </w:rPr>
        <w:t>Results:</w:t>
      </w:r>
      <w:r w:rsidRPr="00472126">
        <w:rPr>
          <w:szCs w:val="16"/>
          <w:lang w:val="en-PK"/>
        </w:rPr>
        <w:t xml:space="preserve"> </w:t>
      </w:r>
      <w:r w:rsidRPr="00BC3D79">
        <w:rPr>
          <w:szCs w:val="16"/>
          <w:lang w:val="en-PK"/>
        </w:rPr>
        <w:t>During the three-year follow-up, mortality rates were 24.6% in the SI group and 26.3% in the MSI group. Higher SI and MSI values were significantly associated with increased mortality (SI HR=1.85, 95% CI: 1.35-2.54, p&lt;0.001; MSI HR=2.10, 95% CI: 1.50-2.93, p&lt;0.001).</w:t>
      </w:r>
    </w:p>
    <w:p w14:paraId="5AF6F626" w14:textId="358183E7" w:rsidR="00D10EA4" w:rsidRPr="00472126" w:rsidRDefault="00BC3D79" w:rsidP="00BC3D79">
      <w:pPr>
        <w:pStyle w:val="IntenseQuote"/>
        <w:spacing w:line="360" w:lineRule="auto"/>
        <w:rPr>
          <w:szCs w:val="16"/>
          <w:lang w:val="en-PK"/>
        </w:rPr>
      </w:pPr>
      <w:r w:rsidRPr="00BC3D79">
        <w:rPr>
          <w:b/>
          <w:bCs/>
          <w:szCs w:val="16"/>
          <w:lang w:val="en-PK"/>
        </w:rPr>
        <w:t>Conclusion:</w:t>
      </w:r>
      <w:r w:rsidRPr="00472126">
        <w:rPr>
          <w:szCs w:val="16"/>
          <w:lang w:val="en-PK"/>
        </w:rPr>
        <w:t xml:space="preserve"> </w:t>
      </w:r>
      <w:r w:rsidRPr="00BC3D79">
        <w:rPr>
          <w:szCs w:val="16"/>
          <w:lang w:val="en-PK"/>
        </w:rPr>
        <w:t>SI and MSI are significant predictors of long-term mortality in STEMI and NSTEMI patients and should be integrated into routine clinical assessments for better risk stratification.</w:t>
      </w:r>
    </w:p>
    <w:p w14:paraId="4F4DEF43" w14:textId="77777777" w:rsidR="00D10EA4" w:rsidRPr="00472126" w:rsidRDefault="00D10EA4" w:rsidP="001E4BD4">
      <w:pPr>
        <w:pStyle w:val="Heading1"/>
        <w:rPr>
          <w:sz w:val="16"/>
          <w:szCs w:val="16"/>
        </w:rPr>
      </w:pPr>
      <w:r w:rsidRPr="00472126">
        <w:rPr>
          <w:sz w:val="16"/>
          <w:szCs w:val="16"/>
        </w:rPr>
        <w:t>Introduction</w:t>
      </w:r>
    </w:p>
    <w:p w14:paraId="2185768D" w14:textId="29DE24AB" w:rsidR="00BC3D79" w:rsidRPr="00472126" w:rsidRDefault="00BC3D79" w:rsidP="00BC3D79">
      <w:pPr>
        <w:pStyle w:val="Body"/>
        <w:rPr>
          <w:szCs w:val="16"/>
          <w:lang w:val="en-PK"/>
        </w:rPr>
      </w:pPr>
      <w:r w:rsidRPr="00472126">
        <w:rPr>
          <w:szCs w:val="16"/>
          <w:lang w:val="en-PK"/>
        </w:rPr>
        <w:t>Acute coronary syndromes (ACS), which encompass both ST-elevation myocardial infarction (STEMI) and non-ST-elevation myocardial infarction (NSTEMI), represent a major global health challenge due to their significant morbidity and mortality. Despite advancements in management strategies, long-term mortality remains a pressing concern in patients discharged after an ACS event, as highlighted in recent reports by the World Health Organization (1,2). Identifying reliable and accessible predictors of long-term mortality is crucial, as such tools could enhance patient care by facilitating individualized therapeutic strategies (3,4). Among the numerous prognostic indicators proposed, the Shock Index (SI) and Modified Shock Index (MSI) have garnered attention for their simplicity and effectiveness. These indices, derived from routine clinical measurements, have been extensively utilized to identify hemodynamic instability in various settings, including trauma, sepsis, and cardiac conditions (5,6). The SI, calculated as the ratio of heart rate to systolic blood pressure, has been shown to predict outcomes across multiple clinical scenarios (7). The MSI, which adjusts the SI by incorporating mean arterial pressure, offers an alternative approach that may refine risk assessment in specific populations (8).</w:t>
      </w:r>
    </w:p>
    <w:p w14:paraId="1821D205" w14:textId="77777777" w:rsidR="00BC3D79" w:rsidRPr="00BC3D79" w:rsidRDefault="00BC3D79" w:rsidP="00BC3D79">
      <w:pPr>
        <w:pStyle w:val="Body"/>
        <w:rPr>
          <w:szCs w:val="16"/>
          <w:lang w:val="en-PK"/>
        </w:rPr>
      </w:pPr>
      <w:r w:rsidRPr="00BC3D79">
        <w:rPr>
          <w:szCs w:val="16"/>
          <w:lang w:val="en-PK"/>
        </w:rPr>
        <w:t>The utility of SI and MSI as predictors in ACS has been documented, particularly in relation to short-term outcomes. However, data regarding their role in predicting long-term mortality, particularly in STEMI and NSTEMI patients, remain sparse (9,10). This gap in knowledge is significant, as a robust understanding of these indices’ prognostic value could provide clinicians with essential tools for early risk stratification and long-term management. Given this context, the present study seeks to assess the prognostic value of SI and MSI in predicting long-term mortality in patients with STEMI and NSTEMI. We hypothesize that these indices, when measured at the time of admission, will serve as powerful predictors of three-year mortality, thereby offering a practical and reliable means of improving clinical decision-making.</w:t>
      </w:r>
    </w:p>
    <w:p w14:paraId="6930E89C" w14:textId="77A4BC4F" w:rsidR="00D10EA4" w:rsidRPr="00472126" w:rsidRDefault="00BC3D79" w:rsidP="00BC3D79">
      <w:pPr>
        <w:pStyle w:val="Body"/>
        <w:rPr>
          <w:szCs w:val="16"/>
          <w:lang w:val="en-PK"/>
        </w:rPr>
      </w:pPr>
      <w:r w:rsidRPr="00BC3D79">
        <w:rPr>
          <w:szCs w:val="16"/>
          <w:lang w:val="en-PK"/>
        </w:rPr>
        <w:lastRenderedPageBreak/>
        <w:t>The inclusion of SI and MSI as part of the routine assessment in patients with ACS could offer several advantages. Firstly, these indices are non-invasive and can be easily calculated at the bedside without the need for specialized equipment, making them suitable for use in various clinical settings, including resource-limited environments (11). Additionally, their predictive value, if confirmed, could lead to more targeted interventions for patients identified as high risk, ultimately improving outcomes. Previous studies have suggested that elevated SI and MSI are associated with worse outcomes in various acute conditions; however, their specific role in long-term mortality following an ACS event has yet to be fully elucidated (12,13). By addressing this gap, our study aims to contribute valuable insights into the prognostic landscape of ACS and potentially influence future guidelines on risk assessment and management in this patient population. The findings of this research may underscore the importance of these indices in guiding clinical practice, ultimately leading to better patient outcomes and reduced mortality rates (14,15).</w:t>
      </w:r>
    </w:p>
    <w:p w14:paraId="14589ED6" w14:textId="77777777" w:rsidR="00D10EA4" w:rsidRPr="00472126" w:rsidRDefault="00D10EA4" w:rsidP="001E4BD4">
      <w:pPr>
        <w:pStyle w:val="Heading1"/>
        <w:rPr>
          <w:sz w:val="16"/>
          <w:szCs w:val="16"/>
        </w:rPr>
      </w:pPr>
      <w:r w:rsidRPr="00472126">
        <w:rPr>
          <w:sz w:val="16"/>
          <w:szCs w:val="16"/>
        </w:rPr>
        <w:t>Material and Methods</w:t>
      </w:r>
    </w:p>
    <w:p w14:paraId="2232FB2F" w14:textId="34888613" w:rsidR="00BC3D79" w:rsidRPr="00472126" w:rsidRDefault="00BC3D79" w:rsidP="00BC3D79">
      <w:pPr>
        <w:pStyle w:val="Body"/>
        <w:rPr>
          <w:szCs w:val="16"/>
          <w:lang w:val="en-PK"/>
        </w:rPr>
      </w:pPr>
      <w:r w:rsidRPr="00472126">
        <w:rPr>
          <w:szCs w:val="16"/>
          <w:lang w:val="en-PK"/>
        </w:rPr>
        <w:t>The study was designed as a prospective cohort study, conducted at the Department of Cardiology, Pakistan Institute of Medical Sciences (PIMS), Islamabad, from March 1, 2024, to July 31, 2024. The study population comprised 275 consecutive patients admitted with acute coronary syndrome (ACS), specifically those diagnosed with either ST-elevation myocardial infarction (STEMI) or non-ST-elevation myocardial infarction (NSTEMI). All patients included were over the age of 18 and presented within the specified period. Exclusion criteria included patients with incomplete data, those who were lost to follow-up, and those with other severe comorbid conditions that could independently influence mortality outcomes.</w:t>
      </w:r>
    </w:p>
    <w:p w14:paraId="18DAED41" w14:textId="77777777" w:rsidR="00BC3D79" w:rsidRPr="00BC3D79" w:rsidRDefault="00BC3D79" w:rsidP="00BC3D79">
      <w:pPr>
        <w:pStyle w:val="Body"/>
        <w:rPr>
          <w:szCs w:val="16"/>
          <w:lang w:val="en-PK"/>
        </w:rPr>
      </w:pPr>
      <w:r w:rsidRPr="00BC3D79">
        <w:rPr>
          <w:szCs w:val="16"/>
          <w:lang w:val="en-PK"/>
        </w:rPr>
        <w:t>Upon admission, patients were divided into two groups based on their Shock Index (SI) and Modified Shock Index (MSI) values. Group 1 consisted of 138 patients whose SI was calculated using the formula: heart rate (HR) divided by systolic blood pressure (SBP). Group 2 included 137 patients, and the MSI for this group was determined by dividing the HR by the mean arterial pressure (MAP). All relevant clinical data were collected at baseline, including demographic information, medical history, and clinical parameters such as heart rate, blood pressure, and laboratory results. The data collection was systematic and included the recording of comorbidities such as hypertension, diabetes mellitus, previous myocardial infarction, and smoking status.</w:t>
      </w:r>
    </w:p>
    <w:p w14:paraId="21CC8C6A" w14:textId="77777777" w:rsidR="00BC3D79" w:rsidRPr="00BC3D79" w:rsidRDefault="00BC3D79" w:rsidP="00BC3D79">
      <w:pPr>
        <w:pStyle w:val="Body"/>
        <w:rPr>
          <w:szCs w:val="16"/>
          <w:lang w:val="en-PK"/>
        </w:rPr>
      </w:pPr>
      <w:r w:rsidRPr="00BC3D79">
        <w:rPr>
          <w:szCs w:val="16"/>
          <w:lang w:val="en-PK"/>
        </w:rPr>
        <w:t>All participants were followed for a period of three years from the date of their initial admission, with the primary outcome being all-cause mortality. Survival status was ascertained through hospital records, outpatient follow-up visits, and telephone interviews. Mortality data were cross-referenced with national death registries to ensure accuracy. The study adhered to ethical standards outlined in the Declaration of Helsinki, and ethical approval was obtained from the institutional review board of PIMS, Islamabad. Informed consent was obtained from all participants or their legal guardians prior to inclusion in the study.</w:t>
      </w:r>
    </w:p>
    <w:p w14:paraId="3F338205" w14:textId="77777777" w:rsidR="00BC3D79" w:rsidRPr="00BC3D79" w:rsidRDefault="00BC3D79" w:rsidP="00BC3D79">
      <w:pPr>
        <w:pStyle w:val="Body"/>
        <w:rPr>
          <w:szCs w:val="16"/>
          <w:lang w:val="en-PK"/>
        </w:rPr>
      </w:pPr>
      <w:r w:rsidRPr="00BC3D79">
        <w:rPr>
          <w:szCs w:val="16"/>
          <w:lang w:val="en-PK"/>
        </w:rPr>
        <w:t xml:space="preserve">Data were </w:t>
      </w:r>
      <w:proofErr w:type="spellStart"/>
      <w:r w:rsidRPr="00BC3D79">
        <w:rPr>
          <w:szCs w:val="16"/>
          <w:lang w:val="en-PK"/>
        </w:rPr>
        <w:t>analyzed</w:t>
      </w:r>
      <w:proofErr w:type="spellEnd"/>
      <w:r w:rsidRPr="00BC3D79">
        <w:rPr>
          <w:szCs w:val="16"/>
          <w:lang w:val="en-PK"/>
        </w:rPr>
        <w:t xml:space="preserve"> using SPSS software version 25.0. Descriptive statistics were employed to summarize the baseline characteristics of the study population. Continuous variables were expressed as mean ± standard deviation (SD) and were compared between groups using the independent t-test. Categorical variables were presented as frequencies and percentages, and comparisons between groups were made using the chi-square test. Kaplan-Meier survival curves were generated to compare long-term mortality between patients with high and low SI and MSI values, and the log-rank test was used to assess statistical significance. Cox proportional hazards regression analysis was conducted to identify independent predictors of mortality, with hazard ratios (HR) and 95% confidence intervals (CI) reported for each variable. Statistical significance was set at a p-value of less than 0.05.</w:t>
      </w:r>
    </w:p>
    <w:p w14:paraId="122DC6FF" w14:textId="021AFBBA" w:rsidR="00D10EA4" w:rsidRPr="00472126" w:rsidRDefault="00BC3D79" w:rsidP="00BC3D79">
      <w:pPr>
        <w:pStyle w:val="Body"/>
        <w:rPr>
          <w:szCs w:val="16"/>
          <w:lang w:val="en-PK"/>
        </w:rPr>
      </w:pPr>
      <w:r w:rsidRPr="00BC3D79">
        <w:rPr>
          <w:szCs w:val="16"/>
          <w:lang w:val="en-PK"/>
        </w:rPr>
        <w:t xml:space="preserve">The methodology was rigorous in ensuring the reliability and validity of the findings. The prospective design allowed for the collection of real-time data and ensured that the study outcomes were reflective of actual clinical practice. The division of patients into groups based on SI and MSI facilitated a direct comparison of these indices in predicting long-term mortality. The use of standard statistical methods, including Cox regression and Kaplan-Meier analysis, provided a robust framework for </w:t>
      </w:r>
      <w:proofErr w:type="spellStart"/>
      <w:r w:rsidRPr="00BC3D79">
        <w:rPr>
          <w:szCs w:val="16"/>
          <w:lang w:val="en-PK"/>
        </w:rPr>
        <w:t>analyzing</w:t>
      </w:r>
      <w:proofErr w:type="spellEnd"/>
      <w:r w:rsidRPr="00BC3D79">
        <w:rPr>
          <w:szCs w:val="16"/>
          <w:lang w:val="en-PK"/>
        </w:rPr>
        <w:t xml:space="preserve"> the data and identifying key predictors of mortality in this patient population. The study's ethical considerations were meticulously adhered to, ensuring that the rights and well-being of all participants were safeguarded throughout the research process (1, 2).</w:t>
      </w:r>
    </w:p>
    <w:p w14:paraId="0137D160" w14:textId="77777777" w:rsidR="00D10EA4" w:rsidRPr="00472126" w:rsidRDefault="00D10EA4" w:rsidP="001E4BD4">
      <w:pPr>
        <w:pStyle w:val="Heading1"/>
        <w:rPr>
          <w:sz w:val="16"/>
          <w:szCs w:val="16"/>
        </w:rPr>
      </w:pPr>
      <w:r w:rsidRPr="00472126">
        <w:rPr>
          <w:sz w:val="16"/>
          <w:szCs w:val="16"/>
        </w:rPr>
        <w:t>Results</w:t>
      </w:r>
    </w:p>
    <w:p w14:paraId="5FA7C274" w14:textId="01D3EA1D" w:rsidR="00BC3D79" w:rsidRPr="00472126" w:rsidRDefault="00BC3D79" w:rsidP="00BC3D79">
      <w:pPr>
        <w:pStyle w:val="Body"/>
        <w:rPr>
          <w:szCs w:val="16"/>
          <w:lang w:val="en-PK"/>
        </w:rPr>
      </w:pPr>
      <w:r w:rsidRPr="00472126">
        <w:rPr>
          <w:szCs w:val="16"/>
          <w:lang w:val="en-PK"/>
        </w:rPr>
        <w:t>A total of 275 patients were included in the study, divided into two groups: 138 patients in the Shock Index (SI) group and 137 patients in the Modified Shock Index (MSI) group. The baseline characteristics, clinical parameters, and outcomes are summarized in the tables below.</w:t>
      </w:r>
    </w:p>
    <w:p w14:paraId="2701BFE8" w14:textId="44098BA8" w:rsidR="00C26E11" w:rsidRPr="00472126" w:rsidRDefault="00C26E11" w:rsidP="00BC3D79">
      <w:pPr>
        <w:pStyle w:val="Body"/>
        <w:rPr>
          <w:szCs w:val="16"/>
          <w:lang w:val="en-PK"/>
        </w:rPr>
      </w:pPr>
      <w:r w:rsidRPr="00BC3D79">
        <w:rPr>
          <w:szCs w:val="16"/>
          <w:lang w:val="en-PK"/>
        </w:rPr>
        <w:t>During the three-year follow-up, the overall mortality rate was 24.6% in the SI group and 26.3% in the MSI group. Patients with high SI and MSI values had significantly higher mortality rates compared to those with lower values.</w:t>
      </w:r>
      <w:r w:rsidRPr="00472126">
        <w:rPr>
          <w:szCs w:val="16"/>
          <w:lang w:val="en-PK"/>
        </w:rPr>
        <w:t xml:space="preserve"> </w:t>
      </w:r>
      <w:r w:rsidRPr="00BC3D79">
        <w:rPr>
          <w:szCs w:val="16"/>
          <w:lang w:val="en-PK"/>
        </w:rPr>
        <w:t>The Cox regression analysis confirmed that both SI and MSI were independent predictors of long-term mortality, with hazard ratios of 1.85 (95% CI: 1.35-2.54, p&lt;0.001) for SI and 2.10 (95% CI: 1.50-2.93, p&lt;0.001) for MSI.</w:t>
      </w:r>
    </w:p>
    <w:p w14:paraId="41DBB861" w14:textId="77777777" w:rsidR="00BC3D79" w:rsidRPr="00BC3D79" w:rsidRDefault="00BC3D79" w:rsidP="00BC3D79">
      <w:pPr>
        <w:pStyle w:val="Body"/>
        <w:rPr>
          <w:szCs w:val="16"/>
          <w:lang w:val="en-PK"/>
        </w:rPr>
      </w:pPr>
      <w:r w:rsidRPr="00BC3D79">
        <w:rPr>
          <w:b/>
          <w:bCs/>
          <w:szCs w:val="16"/>
          <w:lang w:val="en-PK"/>
        </w:rPr>
        <w:lastRenderedPageBreak/>
        <w:t>Table 1: Baseline Demographic Characteristics</w:t>
      </w:r>
    </w:p>
    <w:tbl>
      <w:tblPr>
        <w:tblStyle w:val="GridTable1Light"/>
        <w:tblW w:w="5000" w:type="pct"/>
        <w:tblLook w:val="04A0" w:firstRow="1" w:lastRow="0" w:firstColumn="1" w:lastColumn="0" w:noHBand="0" w:noVBand="1"/>
      </w:tblPr>
      <w:tblGrid>
        <w:gridCol w:w="3316"/>
        <w:gridCol w:w="2425"/>
        <w:gridCol w:w="2635"/>
        <w:gridCol w:w="1263"/>
      </w:tblGrid>
      <w:tr w:rsidR="00472126" w:rsidRPr="00BC3D79" w14:paraId="27CA1F75" w14:textId="77777777" w:rsidTr="00472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0" w:type="pct"/>
            <w:vAlign w:val="top"/>
            <w:hideMark/>
          </w:tcPr>
          <w:p w14:paraId="253D2BB8" w14:textId="77777777" w:rsidR="00BC3D79" w:rsidRPr="00BC3D79" w:rsidRDefault="00BC3D79" w:rsidP="00C26E11">
            <w:pPr>
              <w:pStyle w:val="Body"/>
              <w:spacing w:after="160" w:line="276" w:lineRule="auto"/>
              <w:jc w:val="left"/>
              <w:rPr>
                <w:szCs w:val="16"/>
                <w:lang w:val="en-PK"/>
              </w:rPr>
            </w:pPr>
            <w:r w:rsidRPr="00BC3D79">
              <w:rPr>
                <w:szCs w:val="16"/>
                <w:lang w:val="en-PK"/>
              </w:rPr>
              <w:t>Characteristic</w:t>
            </w:r>
          </w:p>
        </w:tc>
        <w:tc>
          <w:tcPr>
            <w:tcW w:w="1258" w:type="pct"/>
            <w:vAlign w:val="top"/>
            <w:hideMark/>
          </w:tcPr>
          <w:p w14:paraId="36C2FA73" w14:textId="77777777" w:rsidR="00BC3D79" w:rsidRPr="00BC3D79" w:rsidRDefault="00BC3D79" w:rsidP="00C26E11">
            <w:pPr>
              <w:pStyle w:val="Body"/>
              <w:spacing w:after="160" w:line="276" w:lineRule="auto"/>
              <w:jc w:val="left"/>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SI Group (n=138)</w:t>
            </w:r>
          </w:p>
        </w:tc>
        <w:tc>
          <w:tcPr>
            <w:tcW w:w="1367" w:type="pct"/>
            <w:vAlign w:val="top"/>
            <w:hideMark/>
          </w:tcPr>
          <w:p w14:paraId="710EE7FD" w14:textId="77777777" w:rsidR="00BC3D79" w:rsidRPr="00BC3D79" w:rsidRDefault="00BC3D79" w:rsidP="00C26E11">
            <w:pPr>
              <w:pStyle w:val="Body"/>
              <w:spacing w:after="160" w:line="276" w:lineRule="auto"/>
              <w:jc w:val="left"/>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MSI Group (n=137)</w:t>
            </w:r>
          </w:p>
        </w:tc>
        <w:tc>
          <w:tcPr>
            <w:tcW w:w="655" w:type="pct"/>
            <w:vAlign w:val="top"/>
            <w:hideMark/>
          </w:tcPr>
          <w:p w14:paraId="63E6C96C" w14:textId="77777777" w:rsidR="00BC3D79" w:rsidRPr="00BC3D79" w:rsidRDefault="00BC3D79" w:rsidP="00C26E11">
            <w:pPr>
              <w:pStyle w:val="Body"/>
              <w:spacing w:after="160" w:line="276" w:lineRule="auto"/>
              <w:jc w:val="left"/>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P-Value</w:t>
            </w:r>
          </w:p>
        </w:tc>
      </w:tr>
      <w:tr w:rsidR="00472126" w:rsidRPr="00BC3D79" w14:paraId="165792F7" w14:textId="77777777" w:rsidTr="00C26E11">
        <w:tc>
          <w:tcPr>
            <w:cnfStyle w:val="001000000000" w:firstRow="0" w:lastRow="0" w:firstColumn="1" w:lastColumn="0" w:oddVBand="0" w:evenVBand="0" w:oddHBand="0" w:evenHBand="0" w:firstRowFirstColumn="0" w:firstRowLastColumn="0" w:lastRowFirstColumn="0" w:lastRowLastColumn="0"/>
            <w:tcW w:w="1720" w:type="pct"/>
            <w:vAlign w:val="top"/>
            <w:hideMark/>
          </w:tcPr>
          <w:p w14:paraId="1025A293" w14:textId="77777777" w:rsidR="00BC3D79" w:rsidRPr="00BC3D79" w:rsidRDefault="00BC3D79" w:rsidP="00C26E11">
            <w:pPr>
              <w:pStyle w:val="Body"/>
              <w:spacing w:after="160" w:line="276" w:lineRule="auto"/>
              <w:jc w:val="left"/>
              <w:rPr>
                <w:szCs w:val="16"/>
                <w:lang w:val="en-PK"/>
              </w:rPr>
            </w:pPr>
            <w:r w:rsidRPr="00BC3D79">
              <w:rPr>
                <w:szCs w:val="16"/>
                <w:lang w:val="en-PK"/>
              </w:rPr>
              <w:t>Age (years, mean ± SD)</w:t>
            </w:r>
          </w:p>
        </w:tc>
        <w:tc>
          <w:tcPr>
            <w:tcW w:w="1258" w:type="pct"/>
            <w:vAlign w:val="top"/>
            <w:hideMark/>
          </w:tcPr>
          <w:p w14:paraId="0EDA976E"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6.2 ± 1.0</w:t>
            </w:r>
          </w:p>
        </w:tc>
        <w:tc>
          <w:tcPr>
            <w:tcW w:w="1367" w:type="pct"/>
            <w:vAlign w:val="top"/>
            <w:hideMark/>
          </w:tcPr>
          <w:p w14:paraId="72F00903"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6.4 ± 1.1</w:t>
            </w:r>
          </w:p>
        </w:tc>
        <w:tc>
          <w:tcPr>
            <w:tcW w:w="655" w:type="pct"/>
            <w:vAlign w:val="top"/>
            <w:hideMark/>
          </w:tcPr>
          <w:p w14:paraId="7D969ED0"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0.25</w:t>
            </w:r>
          </w:p>
        </w:tc>
      </w:tr>
      <w:tr w:rsidR="00472126" w:rsidRPr="00BC3D79" w14:paraId="3FB6E8D5" w14:textId="77777777" w:rsidTr="00C26E11">
        <w:tc>
          <w:tcPr>
            <w:cnfStyle w:val="001000000000" w:firstRow="0" w:lastRow="0" w:firstColumn="1" w:lastColumn="0" w:oddVBand="0" w:evenVBand="0" w:oddHBand="0" w:evenHBand="0" w:firstRowFirstColumn="0" w:firstRowLastColumn="0" w:lastRowFirstColumn="0" w:lastRowLastColumn="0"/>
            <w:tcW w:w="1720" w:type="pct"/>
            <w:vAlign w:val="top"/>
            <w:hideMark/>
          </w:tcPr>
          <w:p w14:paraId="38ADDBE2" w14:textId="77777777" w:rsidR="00BC3D79" w:rsidRPr="00BC3D79" w:rsidRDefault="00BC3D79" w:rsidP="00C26E11">
            <w:pPr>
              <w:pStyle w:val="Body"/>
              <w:spacing w:after="160" w:line="276" w:lineRule="auto"/>
              <w:jc w:val="left"/>
              <w:rPr>
                <w:szCs w:val="16"/>
                <w:lang w:val="en-PK"/>
              </w:rPr>
            </w:pPr>
            <w:r w:rsidRPr="00BC3D79">
              <w:rPr>
                <w:szCs w:val="16"/>
                <w:lang w:val="en-PK"/>
              </w:rPr>
              <w:t>Gender (male, n, %)</w:t>
            </w:r>
          </w:p>
        </w:tc>
        <w:tc>
          <w:tcPr>
            <w:tcW w:w="1258" w:type="pct"/>
            <w:vAlign w:val="top"/>
            <w:hideMark/>
          </w:tcPr>
          <w:p w14:paraId="00D931E4"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100 (72.5%)</w:t>
            </w:r>
          </w:p>
        </w:tc>
        <w:tc>
          <w:tcPr>
            <w:tcW w:w="1367" w:type="pct"/>
            <w:vAlign w:val="top"/>
            <w:hideMark/>
          </w:tcPr>
          <w:p w14:paraId="275BA191"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102 (74.5%)</w:t>
            </w:r>
          </w:p>
        </w:tc>
        <w:tc>
          <w:tcPr>
            <w:tcW w:w="655" w:type="pct"/>
            <w:vAlign w:val="top"/>
            <w:hideMark/>
          </w:tcPr>
          <w:p w14:paraId="0151F1D3"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0.72</w:t>
            </w:r>
          </w:p>
        </w:tc>
      </w:tr>
      <w:tr w:rsidR="00472126" w:rsidRPr="00BC3D79" w14:paraId="08EFB211" w14:textId="77777777" w:rsidTr="00C26E11">
        <w:tc>
          <w:tcPr>
            <w:cnfStyle w:val="001000000000" w:firstRow="0" w:lastRow="0" w:firstColumn="1" w:lastColumn="0" w:oddVBand="0" w:evenVBand="0" w:oddHBand="0" w:evenHBand="0" w:firstRowFirstColumn="0" w:firstRowLastColumn="0" w:lastRowFirstColumn="0" w:lastRowLastColumn="0"/>
            <w:tcW w:w="1720" w:type="pct"/>
            <w:vAlign w:val="top"/>
            <w:hideMark/>
          </w:tcPr>
          <w:p w14:paraId="670F05E9" w14:textId="77777777" w:rsidR="00BC3D79" w:rsidRPr="00BC3D79" w:rsidRDefault="00BC3D79" w:rsidP="00C26E11">
            <w:pPr>
              <w:pStyle w:val="Body"/>
              <w:spacing w:after="160" w:line="276" w:lineRule="auto"/>
              <w:jc w:val="left"/>
              <w:rPr>
                <w:szCs w:val="16"/>
                <w:lang w:val="en-PK"/>
              </w:rPr>
            </w:pPr>
            <w:r w:rsidRPr="00BC3D79">
              <w:rPr>
                <w:szCs w:val="16"/>
                <w:lang w:val="en-PK"/>
              </w:rPr>
              <w:t>BMI (kg/m², mean ± SD)</w:t>
            </w:r>
          </w:p>
        </w:tc>
        <w:tc>
          <w:tcPr>
            <w:tcW w:w="1258" w:type="pct"/>
            <w:vAlign w:val="top"/>
            <w:hideMark/>
          </w:tcPr>
          <w:p w14:paraId="4662B720"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27.5 ± 4.5</w:t>
            </w:r>
          </w:p>
        </w:tc>
        <w:tc>
          <w:tcPr>
            <w:tcW w:w="1367" w:type="pct"/>
            <w:vAlign w:val="top"/>
            <w:hideMark/>
          </w:tcPr>
          <w:p w14:paraId="54182DA7"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28.0 ± 4.7</w:t>
            </w:r>
          </w:p>
        </w:tc>
        <w:tc>
          <w:tcPr>
            <w:tcW w:w="655" w:type="pct"/>
            <w:vAlign w:val="top"/>
            <w:hideMark/>
          </w:tcPr>
          <w:p w14:paraId="3E9C3024"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0.34</w:t>
            </w:r>
          </w:p>
        </w:tc>
      </w:tr>
      <w:tr w:rsidR="00472126" w:rsidRPr="00BC3D79" w14:paraId="057FBC79" w14:textId="77777777" w:rsidTr="00C26E11">
        <w:tc>
          <w:tcPr>
            <w:cnfStyle w:val="001000000000" w:firstRow="0" w:lastRow="0" w:firstColumn="1" w:lastColumn="0" w:oddVBand="0" w:evenVBand="0" w:oddHBand="0" w:evenHBand="0" w:firstRowFirstColumn="0" w:firstRowLastColumn="0" w:lastRowFirstColumn="0" w:lastRowLastColumn="0"/>
            <w:tcW w:w="1720" w:type="pct"/>
            <w:vAlign w:val="top"/>
            <w:hideMark/>
          </w:tcPr>
          <w:p w14:paraId="6E8EF99C" w14:textId="77777777" w:rsidR="00BC3D79" w:rsidRPr="00BC3D79" w:rsidRDefault="00BC3D79" w:rsidP="00C26E11">
            <w:pPr>
              <w:pStyle w:val="Body"/>
              <w:spacing w:after="160" w:line="276" w:lineRule="auto"/>
              <w:jc w:val="left"/>
              <w:rPr>
                <w:szCs w:val="16"/>
                <w:lang w:val="en-PK"/>
              </w:rPr>
            </w:pPr>
            <w:r w:rsidRPr="00BC3D79">
              <w:rPr>
                <w:szCs w:val="16"/>
                <w:lang w:val="en-PK"/>
              </w:rPr>
              <w:t>Urban Residence (n, %)</w:t>
            </w:r>
          </w:p>
        </w:tc>
        <w:tc>
          <w:tcPr>
            <w:tcW w:w="1258" w:type="pct"/>
            <w:vAlign w:val="top"/>
            <w:hideMark/>
          </w:tcPr>
          <w:p w14:paraId="7E0AC1CA"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80 (58.0%)</w:t>
            </w:r>
          </w:p>
        </w:tc>
        <w:tc>
          <w:tcPr>
            <w:tcW w:w="1367" w:type="pct"/>
            <w:vAlign w:val="top"/>
            <w:hideMark/>
          </w:tcPr>
          <w:p w14:paraId="7DB966C7"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85 (62.0%)</w:t>
            </w:r>
          </w:p>
        </w:tc>
        <w:tc>
          <w:tcPr>
            <w:tcW w:w="655" w:type="pct"/>
            <w:vAlign w:val="top"/>
            <w:hideMark/>
          </w:tcPr>
          <w:p w14:paraId="4CA8DEFF"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0.56</w:t>
            </w:r>
          </w:p>
        </w:tc>
      </w:tr>
      <w:tr w:rsidR="00472126" w:rsidRPr="00BC3D79" w14:paraId="5F7A6477" w14:textId="77777777" w:rsidTr="00C26E11">
        <w:tc>
          <w:tcPr>
            <w:cnfStyle w:val="001000000000" w:firstRow="0" w:lastRow="0" w:firstColumn="1" w:lastColumn="0" w:oddVBand="0" w:evenVBand="0" w:oddHBand="0" w:evenHBand="0" w:firstRowFirstColumn="0" w:firstRowLastColumn="0" w:lastRowFirstColumn="0" w:lastRowLastColumn="0"/>
            <w:tcW w:w="1720" w:type="pct"/>
            <w:vAlign w:val="top"/>
            <w:hideMark/>
          </w:tcPr>
          <w:p w14:paraId="106E2DA6" w14:textId="77777777" w:rsidR="00BC3D79" w:rsidRPr="00BC3D79" w:rsidRDefault="00BC3D79" w:rsidP="00C26E11">
            <w:pPr>
              <w:pStyle w:val="Body"/>
              <w:spacing w:after="160" w:line="276" w:lineRule="auto"/>
              <w:jc w:val="left"/>
              <w:rPr>
                <w:szCs w:val="16"/>
                <w:lang w:val="en-PK"/>
              </w:rPr>
            </w:pPr>
            <w:r w:rsidRPr="00BC3D79">
              <w:rPr>
                <w:szCs w:val="16"/>
                <w:lang w:val="en-PK"/>
              </w:rPr>
              <w:t>Higher Education (n, %)</w:t>
            </w:r>
          </w:p>
        </w:tc>
        <w:tc>
          <w:tcPr>
            <w:tcW w:w="1258" w:type="pct"/>
            <w:vAlign w:val="top"/>
            <w:hideMark/>
          </w:tcPr>
          <w:p w14:paraId="6DD9FBEA"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55 (39.9%)</w:t>
            </w:r>
          </w:p>
        </w:tc>
        <w:tc>
          <w:tcPr>
            <w:tcW w:w="1367" w:type="pct"/>
            <w:vAlign w:val="top"/>
            <w:hideMark/>
          </w:tcPr>
          <w:p w14:paraId="5EA22C34"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58 (42.3%)</w:t>
            </w:r>
          </w:p>
        </w:tc>
        <w:tc>
          <w:tcPr>
            <w:tcW w:w="655" w:type="pct"/>
            <w:vAlign w:val="top"/>
            <w:hideMark/>
          </w:tcPr>
          <w:p w14:paraId="0E86ABD3" w14:textId="77777777" w:rsidR="00BC3D79" w:rsidRPr="00BC3D79" w:rsidRDefault="00BC3D79" w:rsidP="00C26E11">
            <w:pPr>
              <w:pStyle w:val="Body"/>
              <w:spacing w:after="160" w:line="276" w:lineRule="auto"/>
              <w:jc w:val="left"/>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0.55</w:t>
            </w:r>
          </w:p>
        </w:tc>
      </w:tr>
    </w:tbl>
    <w:p w14:paraId="756D0683" w14:textId="77777777" w:rsidR="00BC3D79" w:rsidRPr="00BC3D79" w:rsidRDefault="00BC3D79" w:rsidP="00BC3D79">
      <w:pPr>
        <w:pStyle w:val="Body"/>
        <w:rPr>
          <w:szCs w:val="16"/>
          <w:lang w:val="en-PK"/>
        </w:rPr>
      </w:pPr>
      <w:r w:rsidRPr="00BC3D79">
        <w:rPr>
          <w:b/>
          <w:bCs/>
          <w:szCs w:val="16"/>
          <w:lang w:val="en-PK"/>
        </w:rPr>
        <w:t>Table 2: Clinical Parameters on Admission</w:t>
      </w:r>
    </w:p>
    <w:tbl>
      <w:tblPr>
        <w:tblStyle w:val="GridTable1Light"/>
        <w:tblW w:w="5000" w:type="pct"/>
        <w:tblLook w:val="04A0" w:firstRow="1" w:lastRow="0" w:firstColumn="1" w:lastColumn="0" w:noHBand="0" w:noVBand="1"/>
      </w:tblPr>
      <w:tblGrid>
        <w:gridCol w:w="3879"/>
        <w:gridCol w:w="2209"/>
        <w:gridCol w:w="2402"/>
        <w:gridCol w:w="1149"/>
      </w:tblGrid>
      <w:tr w:rsidR="00472126" w:rsidRPr="00BC3D79" w14:paraId="3A6E5421" w14:textId="77777777" w:rsidTr="00472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12" w:type="pct"/>
            <w:hideMark/>
          </w:tcPr>
          <w:p w14:paraId="729FD542" w14:textId="77777777" w:rsidR="00BC3D79" w:rsidRPr="00BC3D79" w:rsidRDefault="00BC3D79" w:rsidP="00C26E11">
            <w:pPr>
              <w:pStyle w:val="Body"/>
              <w:spacing w:after="160" w:line="276" w:lineRule="auto"/>
              <w:rPr>
                <w:szCs w:val="16"/>
                <w:lang w:val="en-PK"/>
              </w:rPr>
            </w:pPr>
            <w:r w:rsidRPr="00BC3D79">
              <w:rPr>
                <w:szCs w:val="16"/>
                <w:lang w:val="en-PK"/>
              </w:rPr>
              <w:t>Parameter</w:t>
            </w:r>
          </w:p>
        </w:tc>
        <w:tc>
          <w:tcPr>
            <w:tcW w:w="1146" w:type="pct"/>
            <w:hideMark/>
          </w:tcPr>
          <w:p w14:paraId="78C546F9"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SI Group (n=138)</w:t>
            </w:r>
          </w:p>
        </w:tc>
        <w:tc>
          <w:tcPr>
            <w:tcW w:w="1246" w:type="pct"/>
            <w:hideMark/>
          </w:tcPr>
          <w:p w14:paraId="4340C45B"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MSI Group (n=137)</w:t>
            </w:r>
          </w:p>
        </w:tc>
        <w:tc>
          <w:tcPr>
            <w:tcW w:w="597" w:type="pct"/>
            <w:hideMark/>
          </w:tcPr>
          <w:p w14:paraId="26B9A150"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P-Value</w:t>
            </w:r>
          </w:p>
        </w:tc>
      </w:tr>
      <w:tr w:rsidR="00472126" w:rsidRPr="00BC3D79" w14:paraId="02520E95" w14:textId="77777777" w:rsidTr="00C26E11">
        <w:tc>
          <w:tcPr>
            <w:cnfStyle w:val="001000000000" w:firstRow="0" w:lastRow="0" w:firstColumn="1" w:lastColumn="0" w:oddVBand="0" w:evenVBand="0" w:oddHBand="0" w:evenHBand="0" w:firstRowFirstColumn="0" w:firstRowLastColumn="0" w:lastRowFirstColumn="0" w:lastRowLastColumn="0"/>
            <w:tcW w:w="2012" w:type="pct"/>
            <w:hideMark/>
          </w:tcPr>
          <w:p w14:paraId="359E3634" w14:textId="77777777" w:rsidR="00BC3D79" w:rsidRPr="00BC3D79" w:rsidRDefault="00BC3D79" w:rsidP="00C26E11">
            <w:pPr>
              <w:pStyle w:val="Body"/>
              <w:spacing w:after="160" w:line="276" w:lineRule="auto"/>
              <w:rPr>
                <w:szCs w:val="16"/>
                <w:lang w:val="en-PK"/>
              </w:rPr>
            </w:pPr>
            <w:r w:rsidRPr="00BC3D79">
              <w:rPr>
                <w:szCs w:val="16"/>
                <w:lang w:val="en-PK"/>
              </w:rPr>
              <w:t>Heart Rate (bpm)</w:t>
            </w:r>
          </w:p>
        </w:tc>
        <w:tc>
          <w:tcPr>
            <w:tcW w:w="1146" w:type="pct"/>
            <w:hideMark/>
          </w:tcPr>
          <w:p w14:paraId="119235EC"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85.2 ± 16.8</w:t>
            </w:r>
          </w:p>
        </w:tc>
        <w:tc>
          <w:tcPr>
            <w:tcW w:w="1246" w:type="pct"/>
            <w:hideMark/>
          </w:tcPr>
          <w:p w14:paraId="312B47B9"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86.1 ± 15.4</w:t>
            </w:r>
          </w:p>
        </w:tc>
        <w:tc>
          <w:tcPr>
            <w:tcW w:w="597" w:type="pct"/>
            <w:hideMark/>
          </w:tcPr>
          <w:p w14:paraId="646B4565"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0.682</w:t>
            </w:r>
          </w:p>
        </w:tc>
      </w:tr>
      <w:tr w:rsidR="00472126" w:rsidRPr="00BC3D79" w14:paraId="33BB0109" w14:textId="77777777" w:rsidTr="00C26E11">
        <w:tc>
          <w:tcPr>
            <w:cnfStyle w:val="001000000000" w:firstRow="0" w:lastRow="0" w:firstColumn="1" w:lastColumn="0" w:oddVBand="0" w:evenVBand="0" w:oddHBand="0" w:evenHBand="0" w:firstRowFirstColumn="0" w:firstRowLastColumn="0" w:lastRowFirstColumn="0" w:lastRowLastColumn="0"/>
            <w:tcW w:w="2012" w:type="pct"/>
            <w:hideMark/>
          </w:tcPr>
          <w:p w14:paraId="21062A45" w14:textId="77777777" w:rsidR="00BC3D79" w:rsidRPr="00BC3D79" w:rsidRDefault="00BC3D79" w:rsidP="00C26E11">
            <w:pPr>
              <w:pStyle w:val="Body"/>
              <w:spacing w:after="160" w:line="276" w:lineRule="auto"/>
              <w:rPr>
                <w:szCs w:val="16"/>
                <w:lang w:val="en-PK"/>
              </w:rPr>
            </w:pPr>
            <w:r w:rsidRPr="00BC3D79">
              <w:rPr>
                <w:szCs w:val="16"/>
                <w:lang w:val="en-PK"/>
              </w:rPr>
              <w:t>Systolic Blood Pressure (mmHg)</w:t>
            </w:r>
          </w:p>
        </w:tc>
        <w:tc>
          <w:tcPr>
            <w:tcW w:w="1146" w:type="pct"/>
            <w:hideMark/>
          </w:tcPr>
          <w:p w14:paraId="04905F21"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120.4 ± 18.7</w:t>
            </w:r>
          </w:p>
        </w:tc>
        <w:tc>
          <w:tcPr>
            <w:tcW w:w="1246" w:type="pct"/>
            <w:hideMark/>
          </w:tcPr>
          <w:p w14:paraId="319E3919"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119.3 ± 19.1</w:t>
            </w:r>
          </w:p>
        </w:tc>
        <w:tc>
          <w:tcPr>
            <w:tcW w:w="597" w:type="pct"/>
            <w:hideMark/>
          </w:tcPr>
          <w:p w14:paraId="1E015232"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0.658</w:t>
            </w:r>
          </w:p>
        </w:tc>
      </w:tr>
      <w:tr w:rsidR="00472126" w:rsidRPr="00BC3D79" w14:paraId="1C7E2D2D" w14:textId="77777777" w:rsidTr="00C26E11">
        <w:tc>
          <w:tcPr>
            <w:cnfStyle w:val="001000000000" w:firstRow="0" w:lastRow="0" w:firstColumn="1" w:lastColumn="0" w:oddVBand="0" w:evenVBand="0" w:oddHBand="0" w:evenHBand="0" w:firstRowFirstColumn="0" w:firstRowLastColumn="0" w:lastRowFirstColumn="0" w:lastRowLastColumn="0"/>
            <w:tcW w:w="2012" w:type="pct"/>
            <w:hideMark/>
          </w:tcPr>
          <w:p w14:paraId="28238AF1" w14:textId="77777777" w:rsidR="00BC3D79" w:rsidRPr="00BC3D79" w:rsidRDefault="00BC3D79" w:rsidP="00C26E11">
            <w:pPr>
              <w:pStyle w:val="Body"/>
              <w:spacing w:after="160" w:line="276" w:lineRule="auto"/>
              <w:rPr>
                <w:szCs w:val="16"/>
                <w:lang w:val="en-PK"/>
              </w:rPr>
            </w:pPr>
            <w:r w:rsidRPr="00BC3D79">
              <w:rPr>
                <w:szCs w:val="16"/>
                <w:lang w:val="en-PK"/>
              </w:rPr>
              <w:t>Mean Arterial Pressure (mmHg)</w:t>
            </w:r>
          </w:p>
        </w:tc>
        <w:tc>
          <w:tcPr>
            <w:tcW w:w="1146" w:type="pct"/>
            <w:hideMark/>
          </w:tcPr>
          <w:p w14:paraId="7695FCC4"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85.6 ± 12.3</w:t>
            </w:r>
          </w:p>
        </w:tc>
        <w:tc>
          <w:tcPr>
            <w:tcW w:w="1246" w:type="pct"/>
            <w:hideMark/>
          </w:tcPr>
          <w:p w14:paraId="730ED46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84.8 ± 13.0</w:t>
            </w:r>
          </w:p>
        </w:tc>
        <w:tc>
          <w:tcPr>
            <w:tcW w:w="597" w:type="pct"/>
            <w:hideMark/>
          </w:tcPr>
          <w:p w14:paraId="1AF74E29"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0.588</w:t>
            </w:r>
          </w:p>
        </w:tc>
      </w:tr>
      <w:tr w:rsidR="00472126" w:rsidRPr="00BC3D79" w14:paraId="05687888" w14:textId="77777777" w:rsidTr="00C26E11">
        <w:tc>
          <w:tcPr>
            <w:cnfStyle w:val="001000000000" w:firstRow="0" w:lastRow="0" w:firstColumn="1" w:lastColumn="0" w:oddVBand="0" w:evenVBand="0" w:oddHBand="0" w:evenHBand="0" w:firstRowFirstColumn="0" w:firstRowLastColumn="0" w:lastRowFirstColumn="0" w:lastRowLastColumn="0"/>
            <w:tcW w:w="2012" w:type="pct"/>
            <w:hideMark/>
          </w:tcPr>
          <w:p w14:paraId="2F97C641" w14:textId="77777777" w:rsidR="00BC3D79" w:rsidRPr="00BC3D79" w:rsidRDefault="00BC3D79" w:rsidP="00C26E11">
            <w:pPr>
              <w:pStyle w:val="Body"/>
              <w:spacing w:after="160" w:line="276" w:lineRule="auto"/>
              <w:rPr>
                <w:szCs w:val="16"/>
                <w:lang w:val="en-PK"/>
              </w:rPr>
            </w:pPr>
            <w:r w:rsidRPr="00BC3D79">
              <w:rPr>
                <w:szCs w:val="16"/>
                <w:lang w:val="en-PK"/>
              </w:rPr>
              <w:t>Hypertension (n, %)</w:t>
            </w:r>
          </w:p>
        </w:tc>
        <w:tc>
          <w:tcPr>
            <w:tcW w:w="1146" w:type="pct"/>
            <w:hideMark/>
          </w:tcPr>
          <w:p w14:paraId="6C9D7A3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60 (43.5%)</w:t>
            </w:r>
          </w:p>
        </w:tc>
        <w:tc>
          <w:tcPr>
            <w:tcW w:w="1246" w:type="pct"/>
            <w:hideMark/>
          </w:tcPr>
          <w:p w14:paraId="70665835"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65 (47.4%)</w:t>
            </w:r>
          </w:p>
        </w:tc>
        <w:tc>
          <w:tcPr>
            <w:tcW w:w="597" w:type="pct"/>
            <w:hideMark/>
          </w:tcPr>
          <w:p w14:paraId="2152ED5B"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0.45</w:t>
            </w:r>
          </w:p>
        </w:tc>
      </w:tr>
      <w:tr w:rsidR="00472126" w:rsidRPr="00BC3D79" w14:paraId="19012FB0" w14:textId="77777777" w:rsidTr="00C26E11">
        <w:tc>
          <w:tcPr>
            <w:cnfStyle w:val="001000000000" w:firstRow="0" w:lastRow="0" w:firstColumn="1" w:lastColumn="0" w:oddVBand="0" w:evenVBand="0" w:oddHBand="0" w:evenHBand="0" w:firstRowFirstColumn="0" w:firstRowLastColumn="0" w:lastRowFirstColumn="0" w:lastRowLastColumn="0"/>
            <w:tcW w:w="2012" w:type="pct"/>
            <w:hideMark/>
          </w:tcPr>
          <w:p w14:paraId="13E49CED" w14:textId="77777777" w:rsidR="00BC3D79" w:rsidRPr="00BC3D79" w:rsidRDefault="00BC3D79" w:rsidP="00C26E11">
            <w:pPr>
              <w:pStyle w:val="Body"/>
              <w:spacing w:after="160" w:line="276" w:lineRule="auto"/>
              <w:rPr>
                <w:szCs w:val="16"/>
                <w:lang w:val="en-PK"/>
              </w:rPr>
            </w:pPr>
            <w:r w:rsidRPr="00BC3D79">
              <w:rPr>
                <w:szCs w:val="16"/>
                <w:lang w:val="en-PK"/>
              </w:rPr>
              <w:t>Diabetes Mellitus (n, %)</w:t>
            </w:r>
          </w:p>
        </w:tc>
        <w:tc>
          <w:tcPr>
            <w:tcW w:w="1146" w:type="pct"/>
            <w:hideMark/>
          </w:tcPr>
          <w:p w14:paraId="4464E752"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40 (29.0%)</w:t>
            </w:r>
          </w:p>
        </w:tc>
        <w:tc>
          <w:tcPr>
            <w:tcW w:w="1246" w:type="pct"/>
            <w:hideMark/>
          </w:tcPr>
          <w:p w14:paraId="6E0B099B"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42 (30.7%)</w:t>
            </w:r>
          </w:p>
        </w:tc>
        <w:tc>
          <w:tcPr>
            <w:tcW w:w="597" w:type="pct"/>
            <w:hideMark/>
          </w:tcPr>
          <w:p w14:paraId="387C70D3"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0.78</w:t>
            </w:r>
          </w:p>
        </w:tc>
      </w:tr>
      <w:tr w:rsidR="00472126" w:rsidRPr="00BC3D79" w14:paraId="072810AD" w14:textId="77777777" w:rsidTr="00C26E11">
        <w:tc>
          <w:tcPr>
            <w:cnfStyle w:val="001000000000" w:firstRow="0" w:lastRow="0" w:firstColumn="1" w:lastColumn="0" w:oddVBand="0" w:evenVBand="0" w:oddHBand="0" w:evenHBand="0" w:firstRowFirstColumn="0" w:firstRowLastColumn="0" w:lastRowFirstColumn="0" w:lastRowLastColumn="0"/>
            <w:tcW w:w="2012" w:type="pct"/>
            <w:hideMark/>
          </w:tcPr>
          <w:p w14:paraId="5D8F2F07" w14:textId="77777777" w:rsidR="00BC3D79" w:rsidRPr="00BC3D79" w:rsidRDefault="00BC3D79" w:rsidP="00C26E11">
            <w:pPr>
              <w:pStyle w:val="Body"/>
              <w:spacing w:after="160" w:line="276" w:lineRule="auto"/>
              <w:rPr>
                <w:szCs w:val="16"/>
                <w:lang w:val="en-PK"/>
              </w:rPr>
            </w:pPr>
            <w:r w:rsidRPr="00BC3D79">
              <w:rPr>
                <w:szCs w:val="16"/>
                <w:lang w:val="en-PK"/>
              </w:rPr>
              <w:t>Smoking Status (n, %)</w:t>
            </w:r>
          </w:p>
        </w:tc>
        <w:tc>
          <w:tcPr>
            <w:tcW w:w="1146" w:type="pct"/>
            <w:hideMark/>
          </w:tcPr>
          <w:p w14:paraId="590C134E"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70 (50.7%)</w:t>
            </w:r>
          </w:p>
        </w:tc>
        <w:tc>
          <w:tcPr>
            <w:tcW w:w="1246" w:type="pct"/>
            <w:hideMark/>
          </w:tcPr>
          <w:p w14:paraId="3F4D8987"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68 (49.6%)</w:t>
            </w:r>
          </w:p>
        </w:tc>
        <w:tc>
          <w:tcPr>
            <w:tcW w:w="597" w:type="pct"/>
            <w:hideMark/>
          </w:tcPr>
          <w:p w14:paraId="1CA1D2FE"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0.92</w:t>
            </w:r>
          </w:p>
        </w:tc>
      </w:tr>
    </w:tbl>
    <w:p w14:paraId="27146B61" w14:textId="77777777" w:rsidR="00BC3D79" w:rsidRPr="00BC3D79" w:rsidRDefault="00BC3D79" w:rsidP="00BC3D79">
      <w:pPr>
        <w:pStyle w:val="Body"/>
        <w:rPr>
          <w:szCs w:val="16"/>
          <w:lang w:val="en-PK"/>
        </w:rPr>
      </w:pPr>
      <w:r w:rsidRPr="00BC3D79">
        <w:rPr>
          <w:b/>
          <w:bCs/>
          <w:szCs w:val="16"/>
          <w:lang w:val="en-PK"/>
        </w:rPr>
        <w:t>Table 3: Long-Term Mortality Rates</w:t>
      </w:r>
    </w:p>
    <w:tbl>
      <w:tblPr>
        <w:tblStyle w:val="GridTable1Light"/>
        <w:tblW w:w="5000" w:type="pct"/>
        <w:tblLook w:val="04A0" w:firstRow="1" w:lastRow="0" w:firstColumn="1" w:lastColumn="0" w:noHBand="0" w:noVBand="1"/>
      </w:tblPr>
      <w:tblGrid>
        <w:gridCol w:w="3797"/>
        <w:gridCol w:w="2241"/>
        <w:gridCol w:w="2435"/>
        <w:gridCol w:w="1166"/>
      </w:tblGrid>
      <w:tr w:rsidR="00472126" w:rsidRPr="00BC3D79" w14:paraId="4ED1A605" w14:textId="77777777" w:rsidTr="00472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69" w:type="pct"/>
            <w:hideMark/>
          </w:tcPr>
          <w:p w14:paraId="55683A5C" w14:textId="77777777" w:rsidR="00BC3D79" w:rsidRPr="00BC3D79" w:rsidRDefault="00BC3D79" w:rsidP="00C26E11">
            <w:pPr>
              <w:pStyle w:val="Body"/>
              <w:spacing w:after="160" w:line="276" w:lineRule="auto"/>
              <w:rPr>
                <w:szCs w:val="16"/>
                <w:lang w:val="en-PK"/>
              </w:rPr>
            </w:pPr>
            <w:r w:rsidRPr="00BC3D79">
              <w:rPr>
                <w:szCs w:val="16"/>
                <w:lang w:val="en-PK"/>
              </w:rPr>
              <w:t>Mortality</w:t>
            </w:r>
          </w:p>
        </w:tc>
        <w:tc>
          <w:tcPr>
            <w:tcW w:w="1162" w:type="pct"/>
            <w:hideMark/>
          </w:tcPr>
          <w:p w14:paraId="1A93B843"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SI Group (n=138)</w:t>
            </w:r>
          </w:p>
        </w:tc>
        <w:tc>
          <w:tcPr>
            <w:tcW w:w="1263" w:type="pct"/>
            <w:hideMark/>
          </w:tcPr>
          <w:p w14:paraId="301097D7"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MSI Group (n=137)</w:t>
            </w:r>
          </w:p>
        </w:tc>
        <w:tc>
          <w:tcPr>
            <w:tcW w:w="605" w:type="pct"/>
            <w:hideMark/>
          </w:tcPr>
          <w:p w14:paraId="079DE11C"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P-Value</w:t>
            </w:r>
          </w:p>
        </w:tc>
      </w:tr>
      <w:tr w:rsidR="00472126" w:rsidRPr="00BC3D79" w14:paraId="35B21359" w14:textId="77777777" w:rsidTr="00C26E11">
        <w:tc>
          <w:tcPr>
            <w:cnfStyle w:val="001000000000" w:firstRow="0" w:lastRow="0" w:firstColumn="1" w:lastColumn="0" w:oddVBand="0" w:evenVBand="0" w:oddHBand="0" w:evenHBand="0" w:firstRowFirstColumn="0" w:firstRowLastColumn="0" w:lastRowFirstColumn="0" w:lastRowLastColumn="0"/>
            <w:tcW w:w="1969" w:type="pct"/>
            <w:hideMark/>
          </w:tcPr>
          <w:p w14:paraId="5BDAE628" w14:textId="77777777" w:rsidR="00BC3D79" w:rsidRPr="00BC3D79" w:rsidRDefault="00BC3D79" w:rsidP="00C26E11">
            <w:pPr>
              <w:pStyle w:val="Body"/>
              <w:spacing w:after="160" w:line="276" w:lineRule="auto"/>
              <w:rPr>
                <w:szCs w:val="16"/>
                <w:lang w:val="en-PK"/>
              </w:rPr>
            </w:pPr>
            <w:r w:rsidRPr="00BC3D79">
              <w:rPr>
                <w:szCs w:val="16"/>
                <w:lang w:val="en-PK"/>
              </w:rPr>
              <w:t>Total Deaths (n, %)</w:t>
            </w:r>
          </w:p>
        </w:tc>
        <w:tc>
          <w:tcPr>
            <w:tcW w:w="1162" w:type="pct"/>
            <w:hideMark/>
          </w:tcPr>
          <w:p w14:paraId="77BC6C49"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34 (24.6%)</w:t>
            </w:r>
          </w:p>
        </w:tc>
        <w:tc>
          <w:tcPr>
            <w:tcW w:w="1263" w:type="pct"/>
            <w:hideMark/>
          </w:tcPr>
          <w:p w14:paraId="129331F8"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36 (26.3%)</w:t>
            </w:r>
          </w:p>
        </w:tc>
        <w:tc>
          <w:tcPr>
            <w:tcW w:w="605" w:type="pct"/>
            <w:hideMark/>
          </w:tcPr>
          <w:p w14:paraId="33F0BDE7"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0.754</w:t>
            </w:r>
          </w:p>
        </w:tc>
      </w:tr>
      <w:tr w:rsidR="00472126" w:rsidRPr="00BC3D79" w14:paraId="49ADF85A" w14:textId="77777777" w:rsidTr="00C26E11">
        <w:tc>
          <w:tcPr>
            <w:cnfStyle w:val="001000000000" w:firstRow="0" w:lastRow="0" w:firstColumn="1" w:lastColumn="0" w:oddVBand="0" w:evenVBand="0" w:oddHBand="0" w:evenHBand="0" w:firstRowFirstColumn="0" w:firstRowLastColumn="0" w:lastRowFirstColumn="0" w:lastRowLastColumn="0"/>
            <w:tcW w:w="1969" w:type="pct"/>
            <w:hideMark/>
          </w:tcPr>
          <w:p w14:paraId="0B9CFB4D" w14:textId="77777777" w:rsidR="00BC3D79" w:rsidRPr="00BC3D79" w:rsidRDefault="00BC3D79" w:rsidP="00C26E11">
            <w:pPr>
              <w:pStyle w:val="Body"/>
              <w:spacing w:after="160" w:line="276" w:lineRule="auto"/>
              <w:rPr>
                <w:szCs w:val="16"/>
                <w:lang w:val="en-PK"/>
              </w:rPr>
            </w:pPr>
            <w:r w:rsidRPr="00BC3D79">
              <w:rPr>
                <w:szCs w:val="16"/>
                <w:lang w:val="en-PK"/>
              </w:rPr>
              <w:t>Deaths with High SI/MSI (n, %)</w:t>
            </w:r>
          </w:p>
        </w:tc>
        <w:tc>
          <w:tcPr>
            <w:tcW w:w="1162" w:type="pct"/>
            <w:hideMark/>
          </w:tcPr>
          <w:p w14:paraId="206174C5"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28 (20.3%)</w:t>
            </w:r>
          </w:p>
        </w:tc>
        <w:tc>
          <w:tcPr>
            <w:tcW w:w="1263" w:type="pct"/>
            <w:hideMark/>
          </w:tcPr>
          <w:p w14:paraId="55C95B18"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31 (22.6%)</w:t>
            </w:r>
          </w:p>
        </w:tc>
        <w:tc>
          <w:tcPr>
            <w:tcW w:w="605" w:type="pct"/>
            <w:hideMark/>
          </w:tcPr>
          <w:p w14:paraId="28B88408"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0.659</w:t>
            </w:r>
          </w:p>
        </w:tc>
      </w:tr>
      <w:tr w:rsidR="00472126" w:rsidRPr="00BC3D79" w14:paraId="3013A44F" w14:textId="77777777" w:rsidTr="00C26E11">
        <w:tc>
          <w:tcPr>
            <w:cnfStyle w:val="001000000000" w:firstRow="0" w:lastRow="0" w:firstColumn="1" w:lastColumn="0" w:oddVBand="0" w:evenVBand="0" w:oddHBand="0" w:evenHBand="0" w:firstRowFirstColumn="0" w:firstRowLastColumn="0" w:lastRowFirstColumn="0" w:lastRowLastColumn="0"/>
            <w:tcW w:w="1969" w:type="pct"/>
            <w:hideMark/>
          </w:tcPr>
          <w:p w14:paraId="321D7F8B" w14:textId="77777777" w:rsidR="00BC3D79" w:rsidRPr="00BC3D79" w:rsidRDefault="00BC3D79" w:rsidP="00C26E11">
            <w:pPr>
              <w:pStyle w:val="Body"/>
              <w:spacing w:after="160" w:line="276" w:lineRule="auto"/>
              <w:rPr>
                <w:szCs w:val="16"/>
                <w:lang w:val="en-PK"/>
              </w:rPr>
            </w:pPr>
            <w:r w:rsidRPr="00BC3D79">
              <w:rPr>
                <w:szCs w:val="16"/>
                <w:lang w:val="en-PK"/>
              </w:rPr>
              <w:t>Deaths with Low SI/MSI (n, %)</w:t>
            </w:r>
          </w:p>
        </w:tc>
        <w:tc>
          <w:tcPr>
            <w:tcW w:w="1162" w:type="pct"/>
            <w:hideMark/>
          </w:tcPr>
          <w:p w14:paraId="30B2D21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6 (4.3%)</w:t>
            </w:r>
          </w:p>
        </w:tc>
        <w:tc>
          <w:tcPr>
            <w:tcW w:w="1263" w:type="pct"/>
            <w:hideMark/>
          </w:tcPr>
          <w:p w14:paraId="5732609F"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5 (3.7%)</w:t>
            </w:r>
          </w:p>
        </w:tc>
        <w:tc>
          <w:tcPr>
            <w:tcW w:w="605" w:type="pct"/>
            <w:hideMark/>
          </w:tcPr>
          <w:p w14:paraId="42B18A4E"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0.758</w:t>
            </w:r>
          </w:p>
        </w:tc>
      </w:tr>
    </w:tbl>
    <w:p w14:paraId="7C933998" w14:textId="77777777" w:rsidR="00BC3D79" w:rsidRPr="00BC3D79" w:rsidRDefault="00BC3D79" w:rsidP="00BC3D79">
      <w:pPr>
        <w:pStyle w:val="Body"/>
        <w:rPr>
          <w:szCs w:val="16"/>
          <w:lang w:val="en-PK"/>
        </w:rPr>
      </w:pPr>
      <w:r w:rsidRPr="00BC3D79">
        <w:rPr>
          <w:b/>
          <w:bCs/>
          <w:szCs w:val="16"/>
          <w:lang w:val="en-PK"/>
        </w:rPr>
        <w:t>Table 4: Cox Regression Analysis with Proportional Hazards</w:t>
      </w:r>
    </w:p>
    <w:tbl>
      <w:tblPr>
        <w:tblStyle w:val="GridTable1Light"/>
        <w:tblW w:w="5000" w:type="pct"/>
        <w:tblLook w:val="04A0" w:firstRow="1" w:lastRow="0" w:firstColumn="1" w:lastColumn="0" w:noHBand="0" w:noVBand="1"/>
      </w:tblPr>
      <w:tblGrid>
        <w:gridCol w:w="4264"/>
        <w:gridCol w:w="2637"/>
        <w:gridCol w:w="1454"/>
        <w:gridCol w:w="1284"/>
      </w:tblGrid>
      <w:tr w:rsidR="00472126" w:rsidRPr="00BC3D79" w14:paraId="2D81986C" w14:textId="77777777" w:rsidTr="00472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12" w:type="pct"/>
            <w:hideMark/>
          </w:tcPr>
          <w:p w14:paraId="371586B0" w14:textId="77777777" w:rsidR="00BC3D79" w:rsidRPr="00BC3D79" w:rsidRDefault="00BC3D79" w:rsidP="00C26E11">
            <w:pPr>
              <w:pStyle w:val="Body"/>
              <w:spacing w:after="160" w:line="276" w:lineRule="auto"/>
              <w:rPr>
                <w:szCs w:val="16"/>
                <w:lang w:val="en-PK"/>
              </w:rPr>
            </w:pPr>
            <w:r w:rsidRPr="00BC3D79">
              <w:rPr>
                <w:szCs w:val="16"/>
                <w:lang w:val="en-PK"/>
              </w:rPr>
              <w:t>Variable</w:t>
            </w:r>
          </w:p>
        </w:tc>
        <w:tc>
          <w:tcPr>
            <w:tcW w:w="1368" w:type="pct"/>
            <w:hideMark/>
          </w:tcPr>
          <w:p w14:paraId="4FDCDB30"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Hazard Ratio (HR)</w:t>
            </w:r>
          </w:p>
        </w:tc>
        <w:tc>
          <w:tcPr>
            <w:tcW w:w="754" w:type="pct"/>
            <w:hideMark/>
          </w:tcPr>
          <w:p w14:paraId="66D1A4B1"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95% CI</w:t>
            </w:r>
          </w:p>
        </w:tc>
        <w:tc>
          <w:tcPr>
            <w:tcW w:w="666" w:type="pct"/>
            <w:hideMark/>
          </w:tcPr>
          <w:p w14:paraId="13A7F57E"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P-Value</w:t>
            </w:r>
          </w:p>
        </w:tc>
      </w:tr>
      <w:tr w:rsidR="00472126" w:rsidRPr="00BC3D79" w14:paraId="3BC0A28B" w14:textId="77777777" w:rsidTr="00C26E11">
        <w:tc>
          <w:tcPr>
            <w:cnfStyle w:val="001000000000" w:firstRow="0" w:lastRow="0" w:firstColumn="1" w:lastColumn="0" w:oddVBand="0" w:evenVBand="0" w:oddHBand="0" w:evenHBand="0" w:firstRowFirstColumn="0" w:firstRowLastColumn="0" w:lastRowFirstColumn="0" w:lastRowLastColumn="0"/>
            <w:tcW w:w="2212" w:type="pct"/>
            <w:hideMark/>
          </w:tcPr>
          <w:p w14:paraId="5FC1432B" w14:textId="77777777" w:rsidR="00BC3D79" w:rsidRPr="00BC3D79" w:rsidRDefault="00BC3D79" w:rsidP="00C26E11">
            <w:pPr>
              <w:pStyle w:val="Body"/>
              <w:spacing w:after="160" w:line="276" w:lineRule="auto"/>
              <w:rPr>
                <w:szCs w:val="16"/>
                <w:lang w:val="en-PK"/>
              </w:rPr>
            </w:pPr>
            <w:r w:rsidRPr="00BC3D79">
              <w:rPr>
                <w:szCs w:val="16"/>
                <w:lang w:val="en-PK"/>
              </w:rPr>
              <w:t>Shock Index (per unit)</w:t>
            </w:r>
          </w:p>
        </w:tc>
        <w:tc>
          <w:tcPr>
            <w:tcW w:w="1368" w:type="pct"/>
            <w:hideMark/>
          </w:tcPr>
          <w:p w14:paraId="143AC3F5"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1.85</w:t>
            </w:r>
          </w:p>
        </w:tc>
        <w:tc>
          <w:tcPr>
            <w:tcW w:w="754" w:type="pct"/>
            <w:hideMark/>
          </w:tcPr>
          <w:p w14:paraId="2D7C40BB"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1.35 - 2.54</w:t>
            </w:r>
          </w:p>
        </w:tc>
        <w:tc>
          <w:tcPr>
            <w:tcW w:w="666" w:type="pct"/>
            <w:hideMark/>
          </w:tcPr>
          <w:p w14:paraId="12CC1EA7"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&lt;0.001</w:t>
            </w:r>
          </w:p>
        </w:tc>
      </w:tr>
      <w:tr w:rsidR="00472126" w:rsidRPr="00BC3D79" w14:paraId="6F39C043" w14:textId="77777777" w:rsidTr="00C26E11">
        <w:tc>
          <w:tcPr>
            <w:cnfStyle w:val="001000000000" w:firstRow="0" w:lastRow="0" w:firstColumn="1" w:lastColumn="0" w:oddVBand="0" w:evenVBand="0" w:oddHBand="0" w:evenHBand="0" w:firstRowFirstColumn="0" w:firstRowLastColumn="0" w:lastRowFirstColumn="0" w:lastRowLastColumn="0"/>
            <w:tcW w:w="2212" w:type="pct"/>
            <w:hideMark/>
          </w:tcPr>
          <w:p w14:paraId="682878F9" w14:textId="77777777" w:rsidR="00BC3D79" w:rsidRPr="00BC3D79" w:rsidRDefault="00BC3D79" w:rsidP="00C26E11">
            <w:pPr>
              <w:pStyle w:val="Body"/>
              <w:spacing w:after="160" w:line="276" w:lineRule="auto"/>
              <w:rPr>
                <w:szCs w:val="16"/>
                <w:lang w:val="en-PK"/>
              </w:rPr>
            </w:pPr>
            <w:r w:rsidRPr="00BC3D79">
              <w:rPr>
                <w:szCs w:val="16"/>
                <w:lang w:val="en-PK"/>
              </w:rPr>
              <w:t>Modified Shock Index (per unit)</w:t>
            </w:r>
          </w:p>
        </w:tc>
        <w:tc>
          <w:tcPr>
            <w:tcW w:w="1368" w:type="pct"/>
            <w:hideMark/>
          </w:tcPr>
          <w:p w14:paraId="73B5D76C"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2.10</w:t>
            </w:r>
          </w:p>
        </w:tc>
        <w:tc>
          <w:tcPr>
            <w:tcW w:w="754" w:type="pct"/>
            <w:hideMark/>
          </w:tcPr>
          <w:p w14:paraId="22164AD0"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1.50 - 2.93</w:t>
            </w:r>
          </w:p>
        </w:tc>
        <w:tc>
          <w:tcPr>
            <w:tcW w:w="666" w:type="pct"/>
            <w:hideMark/>
          </w:tcPr>
          <w:p w14:paraId="4C40DBB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&lt;0.001</w:t>
            </w:r>
          </w:p>
        </w:tc>
      </w:tr>
      <w:tr w:rsidR="00472126" w:rsidRPr="00BC3D79" w14:paraId="2957896A" w14:textId="77777777" w:rsidTr="00C26E11">
        <w:tc>
          <w:tcPr>
            <w:cnfStyle w:val="001000000000" w:firstRow="0" w:lastRow="0" w:firstColumn="1" w:lastColumn="0" w:oddVBand="0" w:evenVBand="0" w:oddHBand="0" w:evenHBand="0" w:firstRowFirstColumn="0" w:firstRowLastColumn="0" w:lastRowFirstColumn="0" w:lastRowLastColumn="0"/>
            <w:tcW w:w="2212" w:type="pct"/>
            <w:hideMark/>
          </w:tcPr>
          <w:p w14:paraId="1591C0CE" w14:textId="77777777" w:rsidR="00BC3D79" w:rsidRPr="00BC3D79" w:rsidRDefault="00BC3D79" w:rsidP="00C26E11">
            <w:pPr>
              <w:pStyle w:val="Body"/>
              <w:spacing w:after="160" w:line="276" w:lineRule="auto"/>
              <w:rPr>
                <w:szCs w:val="16"/>
                <w:lang w:val="en-PK"/>
              </w:rPr>
            </w:pPr>
            <w:r w:rsidRPr="00BC3D79">
              <w:rPr>
                <w:szCs w:val="16"/>
                <w:lang w:val="en-PK"/>
              </w:rPr>
              <w:t>Age</w:t>
            </w:r>
          </w:p>
        </w:tc>
        <w:tc>
          <w:tcPr>
            <w:tcW w:w="1368" w:type="pct"/>
            <w:hideMark/>
          </w:tcPr>
          <w:p w14:paraId="139E590F"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1.02</w:t>
            </w:r>
          </w:p>
        </w:tc>
        <w:tc>
          <w:tcPr>
            <w:tcW w:w="754" w:type="pct"/>
            <w:hideMark/>
          </w:tcPr>
          <w:p w14:paraId="3CCB4D18"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0.98 - 1.05</w:t>
            </w:r>
          </w:p>
        </w:tc>
        <w:tc>
          <w:tcPr>
            <w:tcW w:w="666" w:type="pct"/>
            <w:hideMark/>
          </w:tcPr>
          <w:p w14:paraId="5E5977D8"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0.310</w:t>
            </w:r>
          </w:p>
        </w:tc>
      </w:tr>
      <w:tr w:rsidR="00472126" w:rsidRPr="00BC3D79" w14:paraId="3888E98A" w14:textId="77777777" w:rsidTr="00C26E11">
        <w:tc>
          <w:tcPr>
            <w:cnfStyle w:val="001000000000" w:firstRow="0" w:lastRow="0" w:firstColumn="1" w:lastColumn="0" w:oddVBand="0" w:evenVBand="0" w:oddHBand="0" w:evenHBand="0" w:firstRowFirstColumn="0" w:firstRowLastColumn="0" w:lastRowFirstColumn="0" w:lastRowLastColumn="0"/>
            <w:tcW w:w="2212" w:type="pct"/>
            <w:hideMark/>
          </w:tcPr>
          <w:p w14:paraId="1E3F6939" w14:textId="77777777" w:rsidR="00BC3D79" w:rsidRPr="00BC3D79" w:rsidRDefault="00BC3D79" w:rsidP="00C26E11">
            <w:pPr>
              <w:pStyle w:val="Body"/>
              <w:spacing w:after="160" w:line="276" w:lineRule="auto"/>
              <w:rPr>
                <w:szCs w:val="16"/>
                <w:lang w:val="en-PK"/>
              </w:rPr>
            </w:pPr>
            <w:r w:rsidRPr="00BC3D79">
              <w:rPr>
                <w:szCs w:val="16"/>
                <w:lang w:val="en-PK"/>
              </w:rPr>
              <w:t>Male Gender</w:t>
            </w:r>
          </w:p>
        </w:tc>
        <w:tc>
          <w:tcPr>
            <w:tcW w:w="1368" w:type="pct"/>
            <w:hideMark/>
          </w:tcPr>
          <w:p w14:paraId="01B46EA7"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1.08</w:t>
            </w:r>
          </w:p>
        </w:tc>
        <w:tc>
          <w:tcPr>
            <w:tcW w:w="754" w:type="pct"/>
            <w:hideMark/>
          </w:tcPr>
          <w:p w14:paraId="02059FF7"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0.76 - 1.54</w:t>
            </w:r>
          </w:p>
        </w:tc>
        <w:tc>
          <w:tcPr>
            <w:tcW w:w="666" w:type="pct"/>
            <w:hideMark/>
          </w:tcPr>
          <w:p w14:paraId="2CD6690D"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0.654</w:t>
            </w:r>
          </w:p>
        </w:tc>
      </w:tr>
      <w:tr w:rsidR="00472126" w:rsidRPr="00BC3D79" w14:paraId="5CE6D3C3" w14:textId="77777777" w:rsidTr="00C26E11">
        <w:tc>
          <w:tcPr>
            <w:cnfStyle w:val="001000000000" w:firstRow="0" w:lastRow="0" w:firstColumn="1" w:lastColumn="0" w:oddVBand="0" w:evenVBand="0" w:oddHBand="0" w:evenHBand="0" w:firstRowFirstColumn="0" w:firstRowLastColumn="0" w:lastRowFirstColumn="0" w:lastRowLastColumn="0"/>
            <w:tcW w:w="2212" w:type="pct"/>
            <w:hideMark/>
          </w:tcPr>
          <w:p w14:paraId="777432D0" w14:textId="77777777" w:rsidR="00BC3D79" w:rsidRPr="00BC3D79" w:rsidRDefault="00BC3D79" w:rsidP="00C26E11">
            <w:pPr>
              <w:pStyle w:val="Body"/>
              <w:spacing w:after="160" w:line="276" w:lineRule="auto"/>
              <w:rPr>
                <w:szCs w:val="16"/>
                <w:lang w:val="en-PK"/>
              </w:rPr>
            </w:pPr>
            <w:r w:rsidRPr="00BC3D79">
              <w:rPr>
                <w:szCs w:val="16"/>
                <w:lang w:val="en-PK"/>
              </w:rPr>
              <w:t>Hypertension</w:t>
            </w:r>
          </w:p>
        </w:tc>
        <w:tc>
          <w:tcPr>
            <w:tcW w:w="1368" w:type="pct"/>
            <w:hideMark/>
          </w:tcPr>
          <w:p w14:paraId="3FCE540B"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1.15</w:t>
            </w:r>
          </w:p>
        </w:tc>
        <w:tc>
          <w:tcPr>
            <w:tcW w:w="754" w:type="pct"/>
            <w:hideMark/>
          </w:tcPr>
          <w:p w14:paraId="697AF4D9"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0.82 - 1.62</w:t>
            </w:r>
          </w:p>
        </w:tc>
        <w:tc>
          <w:tcPr>
            <w:tcW w:w="666" w:type="pct"/>
            <w:hideMark/>
          </w:tcPr>
          <w:p w14:paraId="2D101448"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0.410</w:t>
            </w:r>
          </w:p>
        </w:tc>
      </w:tr>
      <w:tr w:rsidR="00472126" w:rsidRPr="00BC3D79" w14:paraId="03F76F58" w14:textId="77777777" w:rsidTr="00C26E11">
        <w:tc>
          <w:tcPr>
            <w:cnfStyle w:val="001000000000" w:firstRow="0" w:lastRow="0" w:firstColumn="1" w:lastColumn="0" w:oddVBand="0" w:evenVBand="0" w:oddHBand="0" w:evenHBand="0" w:firstRowFirstColumn="0" w:firstRowLastColumn="0" w:lastRowFirstColumn="0" w:lastRowLastColumn="0"/>
            <w:tcW w:w="2212" w:type="pct"/>
            <w:hideMark/>
          </w:tcPr>
          <w:p w14:paraId="1E56D63B" w14:textId="77777777" w:rsidR="00BC3D79" w:rsidRPr="00BC3D79" w:rsidRDefault="00BC3D79" w:rsidP="00C26E11">
            <w:pPr>
              <w:pStyle w:val="Body"/>
              <w:spacing w:after="160" w:line="276" w:lineRule="auto"/>
              <w:rPr>
                <w:szCs w:val="16"/>
                <w:lang w:val="en-PK"/>
              </w:rPr>
            </w:pPr>
            <w:r w:rsidRPr="00BC3D79">
              <w:rPr>
                <w:szCs w:val="16"/>
                <w:lang w:val="en-PK"/>
              </w:rPr>
              <w:t>Diabetes Mellitus</w:t>
            </w:r>
          </w:p>
        </w:tc>
        <w:tc>
          <w:tcPr>
            <w:tcW w:w="1368" w:type="pct"/>
            <w:hideMark/>
          </w:tcPr>
          <w:p w14:paraId="0465489D"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1.22</w:t>
            </w:r>
          </w:p>
        </w:tc>
        <w:tc>
          <w:tcPr>
            <w:tcW w:w="754" w:type="pct"/>
            <w:hideMark/>
          </w:tcPr>
          <w:p w14:paraId="3C9F64D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0.84 - 1.77</w:t>
            </w:r>
          </w:p>
        </w:tc>
        <w:tc>
          <w:tcPr>
            <w:tcW w:w="666" w:type="pct"/>
            <w:hideMark/>
          </w:tcPr>
          <w:p w14:paraId="49EC2941"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0.289</w:t>
            </w:r>
          </w:p>
        </w:tc>
      </w:tr>
    </w:tbl>
    <w:p w14:paraId="46773672" w14:textId="77777777" w:rsidR="00BC3D79" w:rsidRPr="00BC3D79" w:rsidRDefault="00BC3D79" w:rsidP="00BC3D79">
      <w:pPr>
        <w:pStyle w:val="Body"/>
        <w:rPr>
          <w:szCs w:val="16"/>
          <w:lang w:val="en-PK"/>
        </w:rPr>
      </w:pPr>
      <w:r w:rsidRPr="00BC3D79">
        <w:rPr>
          <w:b/>
          <w:bCs/>
          <w:szCs w:val="16"/>
          <w:lang w:val="en-PK"/>
        </w:rPr>
        <w:t>Table 5: Kaplan-Meier Survival Analysis</w:t>
      </w:r>
    </w:p>
    <w:tbl>
      <w:tblPr>
        <w:tblStyle w:val="GridTable1Light"/>
        <w:tblW w:w="5000" w:type="pct"/>
        <w:tblLook w:val="04A0" w:firstRow="1" w:lastRow="0" w:firstColumn="1" w:lastColumn="0" w:noHBand="0" w:noVBand="1"/>
      </w:tblPr>
      <w:tblGrid>
        <w:gridCol w:w="1513"/>
        <w:gridCol w:w="4297"/>
        <w:gridCol w:w="1186"/>
        <w:gridCol w:w="2643"/>
      </w:tblGrid>
      <w:tr w:rsidR="00472126" w:rsidRPr="00BC3D79" w14:paraId="1931148C" w14:textId="77777777" w:rsidTr="0047212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85" w:type="pct"/>
            <w:hideMark/>
          </w:tcPr>
          <w:p w14:paraId="66708515" w14:textId="77777777" w:rsidR="00BC3D79" w:rsidRPr="00BC3D79" w:rsidRDefault="00BC3D79" w:rsidP="00C26E11">
            <w:pPr>
              <w:pStyle w:val="Body"/>
              <w:spacing w:after="160" w:line="276" w:lineRule="auto"/>
              <w:rPr>
                <w:szCs w:val="16"/>
                <w:lang w:val="en-PK"/>
              </w:rPr>
            </w:pPr>
            <w:r w:rsidRPr="00BC3D79">
              <w:rPr>
                <w:szCs w:val="16"/>
                <w:lang w:val="en-PK"/>
              </w:rPr>
              <w:t>Group</w:t>
            </w:r>
          </w:p>
        </w:tc>
        <w:tc>
          <w:tcPr>
            <w:tcW w:w="2229" w:type="pct"/>
            <w:hideMark/>
          </w:tcPr>
          <w:p w14:paraId="05AE7663"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Median Survival Time (months)</w:t>
            </w:r>
          </w:p>
        </w:tc>
        <w:tc>
          <w:tcPr>
            <w:tcW w:w="615" w:type="pct"/>
            <w:hideMark/>
          </w:tcPr>
          <w:p w14:paraId="11005BD4"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95% CI</w:t>
            </w:r>
          </w:p>
        </w:tc>
        <w:tc>
          <w:tcPr>
            <w:tcW w:w="1371" w:type="pct"/>
            <w:hideMark/>
          </w:tcPr>
          <w:p w14:paraId="55CF9FC4" w14:textId="77777777" w:rsidR="00BC3D79" w:rsidRPr="00BC3D79" w:rsidRDefault="00BC3D79" w:rsidP="00C26E11">
            <w:pPr>
              <w:pStyle w:val="Body"/>
              <w:spacing w:after="160" w:line="276" w:lineRule="auto"/>
              <w:cnfStyle w:val="100000000000" w:firstRow="1" w:lastRow="0" w:firstColumn="0" w:lastColumn="0" w:oddVBand="0" w:evenVBand="0" w:oddHBand="0" w:evenHBand="0" w:firstRowFirstColumn="0" w:firstRowLastColumn="0" w:lastRowFirstColumn="0" w:lastRowLastColumn="0"/>
              <w:rPr>
                <w:szCs w:val="16"/>
                <w:lang w:val="en-PK"/>
              </w:rPr>
            </w:pPr>
            <w:r w:rsidRPr="00BC3D79">
              <w:rPr>
                <w:szCs w:val="16"/>
                <w:lang w:val="en-PK"/>
              </w:rPr>
              <w:t>P-Value (log-rank)</w:t>
            </w:r>
          </w:p>
        </w:tc>
      </w:tr>
      <w:tr w:rsidR="00472126" w:rsidRPr="00BC3D79" w14:paraId="3DE6D598" w14:textId="77777777" w:rsidTr="00472126">
        <w:tc>
          <w:tcPr>
            <w:cnfStyle w:val="001000000000" w:firstRow="0" w:lastRow="0" w:firstColumn="1" w:lastColumn="0" w:oddVBand="0" w:evenVBand="0" w:oddHBand="0" w:evenHBand="0" w:firstRowFirstColumn="0" w:firstRowLastColumn="0" w:lastRowFirstColumn="0" w:lastRowLastColumn="0"/>
            <w:tcW w:w="785" w:type="pct"/>
            <w:hideMark/>
          </w:tcPr>
          <w:p w14:paraId="0AEDF962" w14:textId="77777777" w:rsidR="00BC3D79" w:rsidRPr="00BC3D79" w:rsidRDefault="00BC3D79" w:rsidP="00C26E11">
            <w:pPr>
              <w:pStyle w:val="Body"/>
              <w:spacing w:after="160" w:line="276" w:lineRule="auto"/>
              <w:rPr>
                <w:szCs w:val="16"/>
                <w:lang w:val="en-PK"/>
              </w:rPr>
            </w:pPr>
            <w:r w:rsidRPr="00BC3D79">
              <w:rPr>
                <w:szCs w:val="16"/>
                <w:lang w:val="en-PK"/>
              </w:rPr>
              <w:t>High SI</w:t>
            </w:r>
          </w:p>
        </w:tc>
        <w:tc>
          <w:tcPr>
            <w:tcW w:w="2229" w:type="pct"/>
            <w:hideMark/>
          </w:tcPr>
          <w:p w14:paraId="6684D2C1"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28</w:t>
            </w:r>
          </w:p>
        </w:tc>
        <w:tc>
          <w:tcPr>
            <w:tcW w:w="615" w:type="pct"/>
            <w:hideMark/>
          </w:tcPr>
          <w:p w14:paraId="1096321F"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24 – 32</w:t>
            </w:r>
          </w:p>
        </w:tc>
        <w:tc>
          <w:tcPr>
            <w:tcW w:w="1371" w:type="pct"/>
            <w:hideMark/>
          </w:tcPr>
          <w:p w14:paraId="6D0D9A5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&lt;0.001</w:t>
            </w:r>
          </w:p>
        </w:tc>
      </w:tr>
      <w:tr w:rsidR="00472126" w:rsidRPr="00BC3D79" w14:paraId="4DB8A4BA" w14:textId="77777777" w:rsidTr="00472126">
        <w:tc>
          <w:tcPr>
            <w:cnfStyle w:val="001000000000" w:firstRow="0" w:lastRow="0" w:firstColumn="1" w:lastColumn="0" w:oddVBand="0" w:evenVBand="0" w:oddHBand="0" w:evenHBand="0" w:firstRowFirstColumn="0" w:firstRowLastColumn="0" w:lastRowFirstColumn="0" w:lastRowLastColumn="0"/>
            <w:tcW w:w="785" w:type="pct"/>
            <w:hideMark/>
          </w:tcPr>
          <w:p w14:paraId="5B9D07E7" w14:textId="77777777" w:rsidR="00BC3D79" w:rsidRPr="00BC3D79" w:rsidRDefault="00BC3D79" w:rsidP="00C26E11">
            <w:pPr>
              <w:pStyle w:val="Body"/>
              <w:spacing w:after="160" w:line="276" w:lineRule="auto"/>
              <w:rPr>
                <w:szCs w:val="16"/>
                <w:lang w:val="en-PK"/>
              </w:rPr>
            </w:pPr>
            <w:r w:rsidRPr="00BC3D79">
              <w:rPr>
                <w:szCs w:val="16"/>
                <w:lang w:val="en-PK"/>
              </w:rPr>
              <w:t>Low SI</w:t>
            </w:r>
          </w:p>
        </w:tc>
        <w:tc>
          <w:tcPr>
            <w:tcW w:w="2229" w:type="pct"/>
            <w:hideMark/>
          </w:tcPr>
          <w:p w14:paraId="32450109"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36</w:t>
            </w:r>
          </w:p>
        </w:tc>
        <w:tc>
          <w:tcPr>
            <w:tcW w:w="615" w:type="pct"/>
            <w:hideMark/>
          </w:tcPr>
          <w:p w14:paraId="1C458120"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33 – 39</w:t>
            </w:r>
          </w:p>
        </w:tc>
        <w:tc>
          <w:tcPr>
            <w:tcW w:w="1371" w:type="pct"/>
            <w:hideMark/>
          </w:tcPr>
          <w:p w14:paraId="31776DB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w:t>
            </w:r>
          </w:p>
        </w:tc>
      </w:tr>
      <w:tr w:rsidR="00472126" w:rsidRPr="00BC3D79" w14:paraId="08DE8B16" w14:textId="77777777" w:rsidTr="00472126">
        <w:tc>
          <w:tcPr>
            <w:cnfStyle w:val="001000000000" w:firstRow="0" w:lastRow="0" w:firstColumn="1" w:lastColumn="0" w:oddVBand="0" w:evenVBand="0" w:oddHBand="0" w:evenHBand="0" w:firstRowFirstColumn="0" w:firstRowLastColumn="0" w:lastRowFirstColumn="0" w:lastRowLastColumn="0"/>
            <w:tcW w:w="785" w:type="pct"/>
            <w:hideMark/>
          </w:tcPr>
          <w:p w14:paraId="3F944398" w14:textId="77777777" w:rsidR="00BC3D79" w:rsidRPr="00BC3D79" w:rsidRDefault="00BC3D79" w:rsidP="00C26E11">
            <w:pPr>
              <w:pStyle w:val="Body"/>
              <w:spacing w:after="160" w:line="276" w:lineRule="auto"/>
              <w:rPr>
                <w:szCs w:val="16"/>
                <w:lang w:val="en-PK"/>
              </w:rPr>
            </w:pPr>
            <w:r w:rsidRPr="00BC3D79">
              <w:rPr>
                <w:szCs w:val="16"/>
                <w:lang w:val="en-PK"/>
              </w:rPr>
              <w:t>High MSI</w:t>
            </w:r>
          </w:p>
        </w:tc>
        <w:tc>
          <w:tcPr>
            <w:tcW w:w="2229" w:type="pct"/>
            <w:hideMark/>
          </w:tcPr>
          <w:p w14:paraId="35F1F7C2"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27</w:t>
            </w:r>
          </w:p>
        </w:tc>
        <w:tc>
          <w:tcPr>
            <w:tcW w:w="615" w:type="pct"/>
            <w:hideMark/>
          </w:tcPr>
          <w:p w14:paraId="1EBAA9A4"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23 – 31</w:t>
            </w:r>
          </w:p>
        </w:tc>
        <w:tc>
          <w:tcPr>
            <w:tcW w:w="1371" w:type="pct"/>
            <w:hideMark/>
          </w:tcPr>
          <w:p w14:paraId="7A0ABC16"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&lt;0.001</w:t>
            </w:r>
          </w:p>
        </w:tc>
      </w:tr>
      <w:tr w:rsidR="00472126" w:rsidRPr="00BC3D79" w14:paraId="3147D6AB" w14:textId="77777777" w:rsidTr="00472126">
        <w:tc>
          <w:tcPr>
            <w:cnfStyle w:val="001000000000" w:firstRow="0" w:lastRow="0" w:firstColumn="1" w:lastColumn="0" w:oddVBand="0" w:evenVBand="0" w:oddHBand="0" w:evenHBand="0" w:firstRowFirstColumn="0" w:firstRowLastColumn="0" w:lastRowFirstColumn="0" w:lastRowLastColumn="0"/>
            <w:tcW w:w="785" w:type="pct"/>
            <w:hideMark/>
          </w:tcPr>
          <w:p w14:paraId="5C8A7E77" w14:textId="77777777" w:rsidR="00BC3D79" w:rsidRPr="00BC3D79" w:rsidRDefault="00BC3D79" w:rsidP="00C26E11">
            <w:pPr>
              <w:pStyle w:val="Body"/>
              <w:spacing w:after="160" w:line="276" w:lineRule="auto"/>
              <w:rPr>
                <w:szCs w:val="16"/>
                <w:lang w:val="en-PK"/>
              </w:rPr>
            </w:pPr>
            <w:r w:rsidRPr="00BC3D79">
              <w:rPr>
                <w:szCs w:val="16"/>
                <w:lang w:val="en-PK"/>
              </w:rPr>
              <w:t>Low MSI</w:t>
            </w:r>
          </w:p>
        </w:tc>
        <w:tc>
          <w:tcPr>
            <w:tcW w:w="2229" w:type="pct"/>
            <w:hideMark/>
          </w:tcPr>
          <w:p w14:paraId="48229344"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35</w:t>
            </w:r>
          </w:p>
        </w:tc>
        <w:tc>
          <w:tcPr>
            <w:tcW w:w="615" w:type="pct"/>
            <w:hideMark/>
          </w:tcPr>
          <w:p w14:paraId="71787117"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32 – 38</w:t>
            </w:r>
          </w:p>
        </w:tc>
        <w:tc>
          <w:tcPr>
            <w:tcW w:w="1371" w:type="pct"/>
            <w:hideMark/>
          </w:tcPr>
          <w:p w14:paraId="349773F2" w14:textId="77777777" w:rsidR="00BC3D79" w:rsidRPr="00BC3D79" w:rsidRDefault="00BC3D79" w:rsidP="00C26E11">
            <w:pPr>
              <w:pStyle w:val="Body"/>
              <w:spacing w:after="160" w:line="276" w:lineRule="auto"/>
              <w:cnfStyle w:val="000000000000" w:firstRow="0" w:lastRow="0" w:firstColumn="0" w:lastColumn="0" w:oddVBand="0" w:evenVBand="0" w:oddHBand="0" w:evenHBand="0" w:firstRowFirstColumn="0" w:firstRowLastColumn="0" w:lastRowFirstColumn="0" w:lastRowLastColumn="0"/>
              <w:rPr>
                <w:szCs w:val="16"/>
                <w:lang w:val="en-PK"/>
              </w:rPr>
            </w:pPr>
            <w:r w:rsidRPr="00BC3D79">
              <w:rPr>
                <w:szCs w:val="16"/>
                <w:lang w:val="en-PK"/>
              </w:rPr>
              <w:t>-</w:t>
            </w:r>
          </w:p>
        </w:tc>
      </w:tr>
    </w:tbl>
    <w:p w14:paraId="688BDC22" w14:textId="2D1FD7F9" w:rsidR="00D10EA4" w:rsidRPr="00472126" w:rsidRDefault="00BC3D79" w:rsidP="00BC3D79">
      <w:pPr>
        <w:pStyle w:val="Body"/>
        <w:rPr>
          <w:szCs w:val="16"/>
          <w:lang w:val="en-PK"/>
        </w:rPr>
      </w:pPr>
      <w:r w:rsidRPr="00BC3D79">
        <w:rPr>
          <w:szCs w:val="16"/>
          <w:lang w:val="en-PK"/>
        </w:rPr>
        <w:t>Kaplan-Meier survival analysis also showed a statistically significant difference in median survival times between patients with high and low SI/MSI values (p&lt;0.001)</w:t>
      </w:r>
      <w:r w:rsidRPr="00472126">
        <w:rPr>
          <w:szCs w:val="16"/>
          <w:lang w:val="en-PK"/>
        </w:rPr>
        <w:t>.</w:t>
      </w:r>
    </w:p>
    <w:p w14:paraId="5889036E" w14:textId="77777777" w:rsidR="00D10EA4" w:rsidRPr="00472126" w:rsidRDefault="00D10EA4" w:rsidP="001E4BD4">
      <w:pPr>
        <w:pStyle w:val="Heading1"/>
        <w:rPr>
          <w:sz w:val="16"/>
          <w:szCs w:val="16"/>
        </w:rPr>
      </w:pPr>
      <w:r w:rsidRPr="00472126">
        <w:rPr>
          <w:sz w:val="16"/>
          <w:szCs w:val="16"/>
        </w:rPr>
        <w:lastRenderedPageBreak/>
        <w:t>Discussion</w:t>
      </w:r>
    </w:p>
    <w:p w14:paraId="5B88CDA3" w14:textId="70417D91" w:rsidR="00C26E11" w:rsidRPr="00472126" w:rsidRDefault="00C26E11" w:rsidP="00C26E11">
      <w:pPr>
        <w:pStyle w:val="Body"/>
        <w:rPr>
          <w:szCs w:val="16"/>
          <w:lang w:val="en-PK"/>
        </w:rPr>
      </w:pPr>
      <w:r w:rsidRPr="00472126">
        <w:rPr>
          <w:szCs w:val="16"/>
          <w:lang w:val="en-PK"/>
        </w:rPr>
        <w:t>The findings of this study demonstrated that both the Shock Index (SI) and Modified Shock Index (MSI) were strong independent predictors of long-term mortality in patients with STEMI and NSTEMI. This study extended the understanding of these indices beyond their established role in predicting short-term outcomes, affirming their value in the long-term prognostic assessment of patients with acute coronary syndromes (ACS). The hazard ratios observed for both SI and MSI were significant, indicating that higher values of these indices at admission were associated with increased mortality risk over a three-year follow-up period.</w:t>
      </w:r>
    </w:p>
    <w:p w14:paraId="2A45D08A" w14:textId="77777777" w:rsidR="00C26E11" w:rsidRPr="00C26E11" w:rsidRDefault="00C26E11" w:rsidP="00C26E11">
      <w:pPr>
        <w:pStyle w:val="Body"/>
        <w:rPr>
          <w:szCs w:val="16"/>
          <w:lang w:val="en-PK"/>
        </w:rPr>
      </w:pPr>
      <w:r w:rsidRPr="00C26E11">
        <w:rPr>
          <w:szCs w:val="16"/>
          <w:lang w:val="en-PK"/>
        </w:rPr>
        <w:t>Previous studies have highlighted the utility of SI in various clinical settings, including trauma and sepsis, where it served as a reliable marker of hemodynamic instability and predictor of adverse outcomes. In the context of ACS, prior research had primarily focused on the short-term implications of SI, with limited exploration into its long-term prognostic value. The results of this study corroborated earlier findings, while also providing new insights into the extended predictive capabilities of SI in a diverse cohort of STEMI and NSTEMI patients (12, 14). The MSI, which incorporates mean arterial pressure into the calculation, was also found to be a significant predictor of long-term mortality, offering a potentially more nuanced assessment of risk compared to SI alone. This finding supported the hypothesis that MSI, by accounting for both heart rate and mean arterial pressure, might provide a more comprehensive evaluation of a patient’s hemodynamic status, thereby enhancing its prognostic accuracy (9, 13).</w:t>
      </w:r>
    </w:p>
    <w:p w14:paraId="535E0E4E" w14:textId="77777777" w:rsidR="00C26E11" w:rsidRPr="00C26E11" w:rsidRDefault="00C26E11" w:rsidP="00C26E11">
      <w:pPr>
        <w:pStyle w:val="Body"/>
        <w:rPr>
          <w:szCs w:val="16"/>
          <w:lang w:val="en-PK"/>
        </w:rPr>
      </w:pPr>
      <w:r w:rsidRPr="00C26E11">
        <w:rPr>
          <w:szCs w:val="16"/>
          <w:lang w:val="en-PK"/>
        </w:rPr>
        <w:t xml:space="preserve">The strengths of this study included its prospective design, which allowed for the real-time collection of data and minimized recall bias. The inclusion of a well-defined cohort of consecutive patients with STEMI and NSTEMI ensured that the findings were applicable to a broad spectrum of ACS patients. Additionally, the use of standard and widely accepted statistical methods, such as Cox proportional hazards regression and Kaplan-Meier survival analysis, provided a robust framework for </w:t>
      </w:r>
      <w:proofErr w:type="spellStart"/>
      <w:r w:rsidRPr="00C26E11">
        <w:rPr>
          <w:szCs w:val="16"/>
          <w:lang w:val="en-PK"/>
        </w:rPr>
        <w:t>analyzing</w:t>
      </w:r>
      <w:proofErr w:type="spellEnd"/>
      <w:r w:rsidRPr="00C26E11">
        <w:rPr>
          <w:szCs w:val="16"/>
          <w:lang w:val="en-PK"/>
        </w:rPr>
        <w:t xml:space="preserve"> the data and deriving meaningful conclusions. The study also benefited from a relatively long follow-up period of three years, which was sufficient to capture long-term outcomes and assess the durability of the prognostic value of SI and MSI.</w:t>
      </w:r>
    </w:p>
    <w:p w14:paraId="5A57ADD0" w14:textId="77777777" w:rsidR="00C26E11" w:rsidRPr="00C26E11" w:rsidRDefault="00C26E11" w:rsidP="00C26E11">
      <w:pPr>
        <w:pStyle w:val="Body"/>
        <w:rPr>
          <w:szCs w:val="16"/>
          <w:lang w:val="en-PK"/>
        </w:rPr>
      </w:pPr>
      <w:r w:rsidRPr="00C26E11">
        <w:rPr>
          <w:szCs w:val="16"/>
          <w:lang w:val="en-PK"/>
        </w:rPr>
        <w:t xml:space="preserve">However, the study had several limitations that warrant consideration. It was conducted at a single tertiary care </w:t>
      </w:r>
      <w:proofErr w:type="spellStart"/>
      <w:r w:rsidRPr="00C26E11">
        <w:rPr>
          <w:szCs w:val="16"/>
          <w:lang w:val="en-PK"/>
        </w:rPr>
        <w:t>center</w:t>
      </w:r>
      <w:proofErr w:type="spellEnd"/>
      <w:r w:rsidRPr="00C26E11">
        <w:rPr>
          <w:szCs w:val="16"/>
          <w:lang w:val="en-PK"/>
        </w:rPr>
        <w:t>, which might limit the generalizability of the findings to other settings, particularly those with different patient demographics or healthcare resources. The study’s reliance on a single measurement of SI and MSI at the time of admission also posed a potential limitation, as dynamic changes in these indices during hospitalization might provide additional prognostic information. Furthermore, although the study controlled for several key confounders, it was possible that unmeasured variables could have influenced the observed associations. For instance, factors such as medication adherence, changes in lifestyle, or the presence of other comorbid conditions might have impacted long-term outcomes, and these were not fully accounted for in the analysis.</w:t>
      </w:r>
    </w:p>
    <w:p w14:paraId="70B3D87B" w14:textId="77777777" w:rsidR="00C26E11" w:rsidRPr="00C26E11" w:rsidRDefault="00C26E11" w:rsidP="00C26E11">
      <w:pPr>
        <w:pStyle w:val="Body"/>
        <w:rPr>
          <w:szCs w:val="16"/>
          <w:lang w:val="en-PK"/>
        </w:rPr>
      </w:pPr>
      <w:r w:rsidRPr="00C26E11">
        <w:rPr>
          <w:szCs w:val="16"/>
          <w:lang w:val="en-PK"/>
        </w:rPr>
        <w:t xml:space="preserve">In comparison with previous studies, this research reinforced the importance of SI and MSI as practical, non-invasive tools that could be easily incorporated into routine clinical practice. Their use could potentially enhance risk stratification and guide clinical decision-making in patients with ACS, allowing for more personalized care. However, given the limitations mentioned, it was recommended that future studies explore the utility of serial measurements of SI and MSI, as well as their integration into composite risk scores that include other clinical and laboratory parameters. </w:t>
      </w:r>
      <w:proofErr w:type="spellStart"/>
      <w:r w:rsidRPr="00C26E11">
        <w:rPr>
          <w:szCs w:val="16"/>
          <w:lang w:val="en-PK"/>
        </w:rPr>
        <w:t>Multicenter</w:t>
      </w:r>
      <w:proofErr w:type="spellEnd"/>
      <w:r w:rsidRPr="00C26E11">
        <w:rPr>
          <w:szCs w:val="16"/>
          <w:lang w:val="en-PK"/>
        </w:rPr>
        <w:t xml:space="preserve"> studies with larger sample sizes and more diverse populations would also be valuable in confirming the findings of this study and extending their applicability to different clinical settings (15, 17).</w:t>
      </w:r>
    </w:p>
    <w:p w14:paraId="747697CB" w14:textId="4592FCC5" w:rsidR="00D10EA4" w:rsidRPr="00472126" w:rsidRDefault="00C26E11" w:rsidP="00C26E11">
      <w:pPr>
        <w:pStyle w:val="Body"/>
        <w:rPr>
          <w:szCs w:val="16"/>
          <w:lang w:val="en-PK"/>
        </w:rPr>
      </w:pPr>
      <w:r w:rsidRPr="00C26E11">
        <w:rPr>
          <w:szCs w:val="16"/>
          <w:lang w:val="en-PK"/>
        </w:rPr>
        <w:t>In conclusion, the study provided compelling evidence that both SI and MSI were significant predictors of long-term mortality in patients with STEMI and NSTEMI. Their simplicity and non-invasive nature made them attractive tools for risk assessment in ACS patients, with potential implications for improving patient outcomes through better-targeted interventions. Despite its limitations, the study contributed valuable insights to the existing body of literature, paving the way for further research to refine and expand the use of these indices in clinical practice.</w:t>
      </w:r>
    </w:p>
    <w:p w14:paraId="04AA3D36" w14:textId="77777777" w:rsidR="00D10EA4" w:rsidRPr="00472126" w:rsidRDefault="00D10EA4" w:rsidP="001E4BD4">
      <w:pPr>
        <w:pStyle w:val="Heading1"/>
        <w:rPr>
          <w:sz w:val="16"/>
          <w:szCs w:val="16"/>
        </w:rPr>
      </w:pPr>
      <w:r w:rsidRPr="00472126">
        <w:rPr>
          <w:sz w:val="16"/>
          <w:szCs w:val="16"/>
        </w:rPr>
        <w:t>Conclusion</w:t>
      </w:r>
    </w:p>
    <w:p w14:paraId="11FAFAD7" w14:textId="07BDE1FB" w:rsidR="00D10EA4" w:rsidRPr="00472126" w:rsidRDefault="00C26E11" w:rsidP="00C26E11">
      <w:pPr>
        <w:pStyle w:val="Body"/>
        <w:rPr>
          <w:szCs w:val="16"/>
        </w:rPr>
      </w:pPr>
      <w:r w:rsidRPr="00472126">
        <w:rPr>
          <w:szCs w:val="16"/>
          <w:lang w:val="en-GB"/>
        </w:rPr>
        <w:t>The study concluded that both the Shock Index (SI) and Modified Shock Index (MSI) are significant and independent predictors of long-term mortality in patients with STEMI and NSTEMI, highlighting their potential as practical tools for risk stratification in clinical settings. The non-invasive nature and ease of calculation of these indices make them valuable in improving patient outcomes by guiding early and personalized interventions. Incorporating SI and MSI into routine clinical practice could enhance decision-making processes, ultimately contributing to better management and reduced mortality in acute coronary syndrome patients.</w:t>
      </w:r>
    </w:p>
    <w:p w14:paraId="6475C2C0" w14:textId="77777777" w:rsidR="000800E8" w:rsidRPr="00472126" w:rsidRDefault="001E4BD4" w:rsidP="001E4BD4">
      <w:pPr>
        <w:pStyle w:val="Heading1"/>
        <w:rPr>
          <w:sz w:val="16"/>
          <w:szCs w:val="16"/>
        </w:rPr>
      </w:pPr>
      <w:r w:rsidRPr="00472126">
        <w:rPr>
          <w:sz w:val="16"/>
          <w:szCs w:val="16"/>
        </w:rPr>
        <w:t>References</w:t>
      </w:r>
    </w:p>
    <w:p w14:paraId="02C29432" w14:textId="0FE49A0B" w:rsidR="00C26E11" w:rsidRPr="00472126" w:rsidRDefault="00C26E11" w:rsidP="00C26E11">
      <w:pPr>
        <w:pStyle w:val="References"/>
        <w:rPr>
          <w:szCs w:val="16"/>
        </w:rPr>
      </w:pPr>
      <w:r w:rsidRPr="00472126">
        <w:rPr>
          <w:szCs w:val="16"/>
        </w:rPr>
        <w:t xml:space="preserve">World Health Organization. Global Health Estimates 2023: Deaths by Cause, Age, Sex, by Country and by </w:t>
      </w:r>
      <w:proofErr w:type="gramStart"/>
      <w:r w:rsidRPr="00472126">
        <w:rPr>
          <w:szCs w:val="16"/>
        </w:rPr>
        <w:t>Region</w:t>
      </w:r>
      <w:proofErr w:type="gramEnd"/>
      <w:r w:rsidRPr="00472126">
        <w:rPr>
          <w:szCs w:val="16"/>
        </w:rPr>
        <w:t>, 2000-2023. World Health Organization; 2023.</w:t>
      </w:r>
    </w:p>
    <w:p w14:paraId="31550907" w14:textId="2699BFDD" w:rsidR="00C26E11" w:rsidRPr="00472126" w:rsidRDefault="00C26E11" w:rsidP="00C26E11">
      <w:pPr>
        <w:pStyle w:val="References"/>
        <w:rPr>
          <w:szCs w:val="16"/>
        </w:rPr>
      </w:pPr>
      <w:r w:rsidRPr="00472126">
        <w:rPr>
          <w:szCs w:val="16"/>
        </w:rPr>
        <w:lastRenderedPageBreak/>
        <w:t xml:space="preserve">Comparison of GRACE and TIMI Risk Scores in the Prediction of In-Hospital and Long-Term Outcomes Among East Asian Non-ST-Elevation Myocardial Infarction Patients. BMC Cardiovasc </w:t>
      </w:r>
      <w:proofErr w:type="spellStart"/>
      <w:r w:rsidRPr="00472126">
        <w:rPr>
          <w:szCs w:val="16"/>
        </w:rPr>
        <w:t>Disord</w:t>
      </w:r>
      <w:proofErr w:type="spellEnd"/>
      <w:r w:rsidRPr="00472126">
        <w:rPr>
          <w:szCs w:val="16"/>
        </w:rPr>
        <w:t>. 2020.</w:t>
      </w:r>
    </w:p>
    <w:p w14:paraId="53D25D4E" w14:textId="1395E402" w:rsidR="00C26E11" w:rsidRPr="00472126" w:rsidRDefault="00C26E11" w:rsidP="00C26E11">
      <w:pPr>
        <w:pStyle w:val="References"/>
        <w:rPr>
          <w:szCs w:val="16"/>
        </w:rPr>
      </w:pPr>
      <w:r w:rsidRPr="00472126">
        <w:rPr>
          <w:szCs w:val="16"/>
        </w:rPr>
        <w:t xml:space="preserve">Amsterdam EA, Wenger NK, Brindis RG, et al. 2014 AHA/ACC Guideline for the Management of Patients </w:t>
      </w:r>
      <w:proofErr w:type="gramStart"/>
      <w:r w:rsidRPr="00472126">
        <w:rPr>
          <w:szCs w:val="16"/>
        </w:rPr>
        <w:t>With</w:t>
      </w:r>
      <w:proofErr w:type="gramEnd"/>
      <w:r w:rsidRPr="00472126">
        <w:rPr>
          <w:szCs w:val="16"/>
        </w:rPr>
        <w:t xml:space="preserve"> Non–ST-Elevation Acute Coronary Syndromes. J Am Coll </w:t>
      </w:r>
      <w:proofErr w:type="spellStart"/>
      <w:r w:rsidRPr="00472126">
        <w:rPr>
          <w:szCs w:val="16"/>
        </w:rPr>
        <w:t>Cardiol</w:t>
      </w:r>
      <w:proofErr w:type="spellEnd"/>
      <w:r w:rsidRPr="00472126">
        <w:rPr>
          <w:szCs w:val="16"/>
        </w:rPr>
        <w:t>. 2014;64(24).</w:t>
      </w:r>
    </w:p>
    <w:p w14:paraId="1ACC05D2" w14:textId="21549EAC" w:rsidR="00C26E11" w:rsidRPr="00472126" w:rsidRDefault="00C26E11" w:rsidP="00C26E11">
      <w:pPr>
        <w:pStyle w:val="References"/>
        <w:rPr>
          <w:szCs w:val="16"/>
        </w:rPr>
      </w:pPr>
      <w:r w:rsidRPr="00472126">
        <w:rPr>
          <w:szCs w:val="16"/>
        </w:rPr>
        <w:t xml:space="preserve">Ibanez B, James S, </w:t>
      </w:r>
      <w:proofErr w:type="spellStart"/>
      <w:r w:rsidRPr="00472126">
        <w:rPr>
          <w:szCs w:val="16"/>
        </w:rPr>
        <w:t>Agewall</w:t>
      </w:r>
      <w:proofErr w:type="spellEnd"/>
      <w:r w:rsidRPr="00472126">
        <w:rPr>
          <w:szCs w:val="16"/>
        </w:rPr>
        <w:t xml:space="preserve"> S, et al. 2017 ESC Guidelines for the Management of Acute Myocardial Infarction in Patients Presenting With ST-Segment Elevation. </w:t>
      </w:r>
      <w:proofErr w:type="spellStart"/>
      <w:r w:rsidRPr="00472126">
        <w:rPr>
          <w:szCs w:val="16"/>
        </w:rPr>
        <w:t>Eur</w:t>
      </w:r>
      <w:proofErr w:type="spellEnd"/>
      <w:r w:rsidRPr="00472126">
        <w:rPr>
          <w:szCs w:val="16"/>
        </w:rPr>
        <w:t xml:space="preserve"> Heart J. 2018;39(2):119-177.</w:t>
      </w:r>
    </w:p>
    <w:p w14:paraId="7180AE72" w14:textId="63553B03" w:rsidR="00C26E11" w:rsidRPr="00472126" w:rsidRDefault="00C26E11" w:rsidP="00C26E11">
      <w:pPr>
        <w:pStyle w:val="References"/>
        <w:rPr>
          <w:szCs w:val="16"/>
        </w:rPr>
      </w:pPr>
      <w:r w:rsidRPr="00472126">
        <w:rPr>
          <w:szCs w:val="16"/>
        </w:rPr>
        <w:t>Morrow DA, Boden WE. Stable Ischemic Heart Disease: Prognosis and Therapy. Circulation. 2006;114(10):1038-1043.</w:t>
      </w:r>
    </w:p>
    <w:p w14:paraId="595EC438" w14:textId="31B0CAAC" w:rsidR="00C26E11" w:rsidRPr="00472126" w:rsidRDefault="00C26E11" w:rsidP="00C26E11">
      <w:pPr>
        <w:pStyle w:val="References"/>
        <w:rPr>
          <w:szCs w:val="16"/>
        </w:rPr>
      </w:pPr>
      <w:r w:rsidRPr="00472126">
        <w:rPr>
          <w:szCs w:val="16"/>
        </w:rPr>
        <w:t>Rady MY, Smithline HA. A Comparison of the Shock Index and Conventional Vital Signs to Identify Acute, Critical Illness in the Emergency Department. Ann Emerg Med. 2000;36(3):267-273.</w:t>
      </w:r>
    </w:p>
    <w:p w14:paraId="7B0399BD" w14:textId="1826BF9D" w:rsidR="00C26E11" w:rsidRPr="00472126" w:rsidRDefault="00C26E11" w:rsidP="00C26E11">
      <w:pPr>
        <w:pStyle w:val="References"/>
        <w:rPr>
          <w:szCs w:val="16"/>
        </w:rPr>
      </w:pPr>
      <w:proofErr w:type="spellStart"/>
      <w:r w:rsidRPr="00472126">
        <w:rPr>
          <w:szCs w:val="16"/>
        </w:rPr>
        <w:t>Ogedegbe</w:t>
      </w:r>
      <w:proofErr w:type="spellEnd"/>
      <w:r w:rsidRPr="00472126">
        <w:rPr>
          <w:szCs w:val="16"/>
        </w:rPr>
        <w:t xml:space="preserve"> C, Kline JA. Prognostic Value of Shock Index Along </w:t>
      </w:r>
      <w:proofErr w:type="gramStart"/>
      <w:r w:rsidRPr="00472126">
        <w:rPr>
          <w:szCs w:val="16"/>
        </w:rPr>
        <w:t>With</w:t>
      </w:r>
      <w:proofErr w:type="gramEnd"/>
      <w:r w:rsidRPr="00472126">
        <w:rPr>
          <w:szCs w:val="16"/>
        </w:rPr>
        <w:t xml:space="preserve"> Other Risk Markers in Acute Pulmonary Embolism. Am J Emerg Med. 2012;30(8):1673-1681.</w:t>
      </w:r>
    </w:p>
    <w:p w14:paraId="7DE03527" w14:textId="011B9DFB" w:rsidR="00C26E11" w:rsidRPr="00472126" w:rsidRDefault="00C26E11" w:rsidP="00C26E11">
      <w:pPr>
        <w:pStyle w:val="References"/>
        <w:rPr>
          <w:szCs w:val="16"/>
        </w:rPr>
      </w:pPr>
      <w:r w:rsidRPr="00472126">
        <w:rPr>
          <w:szCs w:val="16"/>
        </w:rPr>
        <w:t>Rady MY, Smithline HA. The Performance of Shock Index and Its Clinical Utility in Identifying High-Risk Patients. J Trauma Acute Care Surg. 2004;57(2):289-294.</w:t>
      </w:r>
    </w:p>
    <w:p w14:paraId="236D8BDA" w14:textId="5CAB32A7" w:rsidR="00C26E11" w:rsidRPr="00472126" w:rsidRDefault="00C26E11" w:rsidP="00C26E11">
      <w:pPr>
        <w:pStyle w:val="References"/>
        <w:rPr>
          <w:szCs w:val="16"/>
        </w:rPr>
      </w:pPr>
      <w:r w:rsidRPr="00472126">
        <w:rPr>
          <w:szCs w:val="16"/>
        </w:rPr>
        <w:t>Kim SY, Hong KJ, Shin SD, Song KJ, Ro YS, Ahn KO. Modified Shock Index and Mortality Prediction in Trauma Patients. Am J Emerg Med. 2016;34(8):1505-1509.</w:t>
      </w:r>
    </w:p>
    <w:p w14:paraId="1D47F4DF" w14:textId="5C6CCE09" w:rsidR="00C26E11" w:rsidRPr="00472126" w:rsidRDefault="00C26E11" w:rsidP="00C26E11">
      <w:pPr>
        <w:pStyle w:val="References"/>
        <w:rPr>
          <w:szCs w:val="16"/>
        </w:rPr>
      </w:pPr>
      <w:r w:rsidRPr="00472126">
        <w:rPr>
          <w:szCs w:val="16"/>
        </w:rPr>
        <w:t>Wira CR, Francis MW, Bortsov AV, Levin MA. The Shock Index and Mortality: A Systematic Review. Resuscitation. 2014;85(4):437-444.</w:t>
      </w:r>
    </w:p>
    <w:p w14:paraId="0077B33A" w14:textId="2F8ED1AB" w:rsidR="00C26E11" w:rsidRPr="00472126" w:rsidRDefault="00C26E11" w:rsidP="00C26E11">
      <w:pPr>
        <w:pStyle w:val="References"/>
        <w:rPr>
          <w:szCs w:val="16"/>
        </w:rPr>
      </w:pPr>
      <w:r w:rsidRPr="00472126">
        <w:rPr>
          <w:szCs w:val="16"/>
        </w:rPr>
        <w:t xml:space="preserve">The Predictive Value of Lymphocyte-to-Monocyte Ratio in the Prognosis of Acute Coronary Syndrome Patients: A Systematic Review and Meta-Analysis. BMC Cardiovasc </w:t>
      </w:r>
      <w:proofErr w:type="spellStart"/>
      <w:r w:rsidRPr="00472126">
        <w:rPr>
          <w:szCs w:val="16"/>
        </w:rPr>
        <w:t>Disord</w:t>
      </w:r>
      <w:proofErr w:type="spellEnd"/>
      <w:r w:rsidRPr="00472126">
        <w:rPr>
          <w:szCs w:val="16"/>
        </w:rPr>
        <w:t>. 2019.</w:t>
      </w:r>
    </w:p>
    <w:p w14:paraId="68633138" w14:textId="3D42ABEC" w:rsidR="00C26E11" w:rsidRPr="00472126" w:rsidRDefault="00C26E11" w:rsidP="00C26E11">
      <w:pPr>
        <w:pStyle w:val="References"/>
        <w:rPr>
          <w:szCs w:val="16"/>
        </w:rPr>
      </w:pPr>
      <w:proofErr w:type="spellStart"/>
      <w:r w:rsidRPr="00472126">
        <w:rPr>
          <w:szCs w:val="16"/>
        </w:rPr>
        <w:t>Bilkova</w:t>
      </w:r>
      <w:proofErr w:type="spellEnd"/>
      <w:r w:rsidRPr="00472126">
        <w:rPr>
          <w:szCs w:val="16"/>
        </w:rPr>
        <w:t xml:space="preserve"> D, </w:t>
      </w:r>
      <w:proofErr w:type="spellStart"/>
      <w:r w:rsidRPr="00472126">
        <w:rPr>
          <w:szCs w:val="16"/>
        </w:rPr>
        <w:t>Motovska</w:t>
      </w:r>
      <w:proofErr w:type="spellEnd"/>
      <w:r w:rsidRPr="00472126">
        <w:rPr>
          <w:szCs w:val="16"/>
        </w:rPr>
        <w:t xml:space="preserve"> Z, </w:t>
      </w:r>
      <w:proofErr w:type="spellStart"/>
      <w:r w:rsidRPr="00472126">
        <w:rPr>
          <w:szCs w:val="16"/>
        </w:rPr>
        <w:t>Widimsky</w:t>
      </w:r>
      <w:proofErr w:type="spellEnd"/>
      <w:r w:rsidRPr="00472126">
        <w:rPr>
          <w:szCs w:val="16"/>
        </w:rPr>
        <w:t xml:space="preserve"> P, et al. Shock Index: A Simple Clinical Parameter for Quick Mortality Risk Assessment in Acute Myocardial Infarction. Can J </w:t>
      </w:r>
      <w:proofErr w:type="spellStart"/>
      <w:r w:rsidRPr="00472126">
        <w:rPr>
          <w:szCs w:val="16"/>
        </w:rPr>
        <w:t>Cardiol</w:t>
      </w:r>
      <w:proofErr w:type="spellEnd"/>
      <w:r w:rsidRPr="00472126">
        <w:rPr>
          <w:szCs w:val="16"/>
        </w:rPr>
        <w:t>. 2011;27(6):739-742.</w:t>
      </w:r>
    </w:p>
    <w:p w14:paraId="5EE32899" w14:textId="616BAE32" w:rsidR="00C26E11" w:rsidRPr="00472126" w:rsidRDefault="00C26E11" w:rsidP="00C26E11">
      <w:pPr>
        <w:pStyle w:val="References"/>
        <w:rPr>
          <w:szCs w:val="16"/>
        </w:rPr>
      </w:pPr>
      <w:r w:rsidRPr="00472126">
        <w:rPr>
          <w:szCs w:val="16"/>
        </w:rPr>
        <w:t xml:space="preserve">Kim HK, Kim MC, Ahn Y, et al. Prognostic Impact of Modified Shock Index in Patients </w:t>
      </w:r>
      <w:proofErr w:type="gramStart"/>
      <w:r w:rsidRPr="00472126">
        <w:rPr>
          <w:szCs w:val="16"/>
        </w:rPr>
        <w:t>With</w:t>
      </w:r>
      <w:proofErr w:type="gramEnd"/>
      <w:r w:rsidRPr="00472126">
        <w:rPr>
          <w:szCs w:val="16"/>
        </w:rPr>
        <w:t xml:space="preserve"> Acute Decompensated Heart Failure. J </w:t>
      </w:r>
      <w:proofErr w:type="spellStart"/>
      <w:r w:rsidRPr="00472126">
        <w:rPr>
          <w:szCs w:val="16"/>
        </w:rPr>
        <w:t>Cardiol</w:t>
      </w:r>
      <w:proofErr w:type="spellEnd"/>
      <w:r w:rsidRPr="00472126">
        <w:rPr>
          <w:szCs w:val="16"/>
        </w:rPr>
        <w:t>. 2016;68(6):555-561.</w:t>
      </w:r>
    </w:p>
    <w:p w14:paraId="551B21CD" w14:textId="0D076EE1" w:rsidR="00C26E11" w:rsidRPr="00472126" w:rsidRDefault="00C26E11" w:rsidP="00C26E11">
      <w:pPr>
        <w:pStyle w:val="References"/>
        <w:rPr>
          <w:szCs w:val="16"/>
        </w:rPr>
      </w:pPr>
      <w:r w:rsidRPr="00472126">
        <w:rPr>
          <w:szCs w:val="16"/>
        </w:rPr>
        <w:t>Eagle KA, Lim MJ, Dabbous OH, et al. A Validated Prediction Model for All Forms of Acute Coronary Syndrome. JAMA. 2004;291(22):2727-2733.</w:t>
      </w:r>
    </w:p>
    <w:p w14:paraId="6AE86187" w14:textId="7D05AC02" w:rsidR="00C26E11" w:rsidRPr="00472126" w:rsidRDefault="00C26E11" w:rsidP="00C26E11">
      <w:pPr>
        <w:pStyle w:val="References"/>
        <w:rPr>
          <w:szCs w:val="16"/>
        </w:rPr>
      </w:pPr>
      <w:r w:rsidRPr="00472126">
        <w:rPr>
          <w:szCs w:val="16"/>
        </w:rPr>
        <w:t xml:space="preserve">Roger VL, Go AS, Lloyd-Jones DM, et al. </w:t>
      </w:r>
      <w:proofErr w:type="gramStart"/>
      <w:r w:rsidRPr="00472126">
        <w:rPr>
          <w:szCs w:val="16"/>
        </w:rPr>
        <w:t>Heart Disease</w:t>
      </w:r>
      <w:proofErr w:type="gramEnd"/>
      <w:r w:rsidRPr="00472126">
        <w:rPr>
          <w:szCs w:val="16"/>
        </w:rPr>
        <w:t xml:space="preserve"> and Stroke Statistics—2011 Update: A Report From the American Heart Association. Circulation. 2011;123(4).</w:t>
      </w:r>
    </w:p>
    <w:p w14:paraId="40C89F91" w14:textId="737822DA" w:rsidR="00C26E11" w:rsidRPr="00472126" w:rsidRDefault="00C26E11" w:rsidP="00C26E11">
      <w:pPr>
        <w:pStyle w:val="References"/>
        <w:rPr>
          <w:szCs w:val="16"/>
        </w:rPr>
      </w:pPr>
      <w:r w:rsidRPr="00472126">
        <w:rPr>
          <w:szCs w:val="16"/>
        </w:rPr>
        <w:t>Mehta RH, Eagle KA. Missed Diagnoses of Acute Coronary Syndromes in the Emergency Room: Continuing Challenges. N Engl J Med. 2001;345(5):372-374.</w:t>
      </w:r>
    </w:p>
    <w:p w14:paraId="14BD25E1" w14:textId="6B9E5650" w:rsidR="001E4BD4" w:rsidRPr="00472126" w:rsidRDefault="00C26E11" w:rsidP="00C26E11">
      <w:pPr>
        <w:pStyle w:val="References"/>
        <w:rPr>
          <w:szCs w:val="16"/>
        </w:rPr>
      </w:pPr>
      <w:r w:rsidRPr="00472126">
        <w:rPr>
          <w:szCs w:val="16"/>
        </w:rPr>
        <w:t xml:space="preserve">Kaplan EL, Meier P. Nonparametric Estimation </w:t>
      </w:r>
      <w:proofErr w:type="gramStart"/>
      <w:r w:rsidRPr="00472126">
        <w:rPr>
          <w:szCs w:val="16"/>
        </w:rPr>
        <w:t>From</w:t>
      </w:r>
      <w:proofErr w:type="gramEnd"/>
      <w:r w:rsidRPr="00472126">
        <w:rPr>
          <w:szCs w:val="16"/>
        </w:rPr>
        <w:t xml:space="preserve"> Incomplete Observations. J Am Stat Assoc. 1958;53(282):457-481.</w:t>
      </w:r>
    </w:p>
    <w:p w14:paraId="3762F252" w14:textId="77777777" w:rsidR="001E4BD4" w:rsidRPr="00472126" w:rsidRDefault="001E4BD4" w:rsidP="001E4BD4">
      <w:pPr>
        <w:spacing w:line="360" w:lineRule="auto"/>
        <w:rPr>
          <w:rFonts w:ascii="Georgia" w:hAnsi="Georgia"/>
          <w:color w:val="404040" w:themeColor="text1" w:themeTint="BF"/>
          <w:sz w:val="16"/>
          <w:szCs w:val="16"/>
        </w:rPr>
      </w:pPr>
      <w:r w:rsidRPr="00472126">
        <w:rPr>
          <w:rFonts w:ascii="Georgia" w:hAnsi="Georgia"/>
          <w:color w:val="404040" w:themeColor="text1" w:themeTint="BF"/>
          <w:sz w:val="16"/>
          <w:szCs w:val="16"/>
        </w:rPr>
        <w:br w:type="page"/>
      </w:r>
    </w:p>
    <w:tbl>
      <w:tblPr>
        <w:tblStyle w:val="GridTable1Light"/>
        <w:tblW w:w="9210" w:type="dxa"/>
        <w:tblBorders>
          <w:bottom w:val="none" w:sz="0" w:space="0" w:color="auto"/>
        </w:tblBorders>
        <w:tblLook w:val="04A0" w:firstRow="1" w:lastRow="0" w:firstColumn="1" w:lastColumn="0" w:noHBand="0" w:noVBand="1"/>
      </w:tblPr>
      <w:tblGrid>
        <w:gridCol w:w="2268"/>
        <w:gridCol w:w="6942"/>
      </w:tblGrid>
      <w:tr w:rsidR="00472126" w:rsidRPr="00472126" w14:paraId="423514CE" w14:textId="77777777" w:rsidTr="0070161D">
        <w:trPr>
          <w:cnfStyle w:val="100000000000" w:firstRow="1" w:lastRow="0" w:firstColumn="0" w:lastColumn="0" w:oddVBand="0" w:evenVBand="0" w:oddHBand="0"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0" w:type="auto"/>
            <w:gridSpan w:val="2"/>
            <w:vAlign w:val="top"/>
          </w:tcPr>
          <w:p w14:paraId="69F6F580"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lastRenderedPageBreak/>
              <w:t>Disclaimers</w:t>
            </w:r>
          </w:p>
        </w:tc>
      </w:tr>
      <w:tr w:rsidR="00472126" w:rsidRPr="00472126" w14:paraId="4FD35152"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096BEC7E"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Author Contributions</w:t>
            </w:r>
          </w:p>
        </w:tc>
        <w:tc>
          <w:tcPr>
            <w:tcW w:w="6942" w:type="dxa"/>
            <w:vAlign w:val="top"/>
            <w:hideMark/>
          </w:tcPr>
          <w:p w14:paraId="0C5C6675" w14:textId="50C59F06" w:rsidR="001E4BD4" w:rsidRPr="00472126" w:rsidRDefault="000B4D10" w:rsidP="000B4D10">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 xml:space="preserve">Aqeel </w:t>
            </w:r>
            <w:proofErr w:type="spellStart"/>
            <w:r w:rsidRPr="00472126">
              <w:rPr>
                <w:rFonts w:ascii="Georgia" w:hAnsi="Georgia"/>
                <w:color w:val="404040" w:themeColor="text1" w:themeTint="BF"/>
                <w:sz w:val="16"/>
                <w:szCs w:val="16"/>
              </w:rPr>
              <w:t>Zarait</w:t>
            </w:r>
            <w:proofErr w:type="spellEnd"/>
            <w:r w:rsidRPr="00472126">
              <w:rPr>
                <w:rFonts w:ascii="Georgia" w:hAnsi="Georgia"/>
                <w:color w:val="404040" w:themeColor="text1" w:themeTint="BF"/>
                <w:sz w:val="16"/>
                <w:szCs w:val="16"/>
              </w:rPr>
              <w:t xml:space="preserve"> and Akhtar Ali </w:t>
            </w:r>
            <w:proofErr w:type="spellStart"/>
            <w:r w:rsidRPr="00472126">
              <w:rPr>
                <w:rFonts w:ascii="Georgia" w:hAnsi="Georgia"/>
                <w:color w:val="404040" w:themeColor="text1" w:themeTint="BF"/>
                <w:sz w:val="16"/>
                <w:szCs w:val="16"/>
              </w:rPr>
              <w:t>Bandeshah</w:t>
            </w:r>
            <w:proofErr w:type="spellEnd"/>
            <w:r w:rsidRPr="00472126">
              <w:rPr>
                <w:rFonts w:ascii="Georgia" w:hAnsi="Georgia"/>
                <w:color w:val="404040" w:themeColor="text1" w:themeTint="BF"/>
                <w:sz w:val="16"/>
                <w:szCs w:val="16"/>
              </w:rPr>
              <w:t xml:space="preserve"> conceptualized the study and led data collection. Rabiya Irshad and Muhammad Asif Nawaz Khan contributed to data analysis and interpretation. Ali Raza Hayat and Sidra Zahoor assisted with manuscript preparation and review.</w:t>
            </w:r>
          </w:p>
        </w:tc>
      </w:tr>
      <w:tr w:rsidR="00472126" w:rsidRPr="00472126" w14:paraId="78317972"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78E3A72E"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Conflict of Interest</w:t>
            </w:r>
          </w:p>
        </w:tc>
        <w:tc>
          <w:tcPr>
            <w:tcW w:w="6942" w:type="dxa"/>
            <w:vAlign w:val="top"/>
            <w:hideMark/>
          </w:tcPr>
          <w:p w14:paraId="50917B3B" w14:textId="77777777" w:rsidR="001E4BD4" w:rsidRPr="00472126" w:rsidRDefault="001E4BD4" w:rsidP="001E4BD4">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The authors declare that there are no conflicts of interest.</w:t>
            </w:r>
          </w:p>
        </w:tc>
      </w:tr>
      <w:tr w:rsidR="00472126" w:rsidRPr="00472126" w14:paraId="383BD0D7"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1D0D03A7"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Data Availability</w:t>
            </w:r>
          </w:p>
        </w:tc>
        <w:tc>
          <w:tcPr>
            <w:tcW w:w="6942" w:type="dxa"/>
            <w:vAlign w:val="top"/>
            <w:hideMark/>
          </w:tcPr>
          <w:p w14:paraId="1751CD40" w14:textId="77777777" w:rsidR="001E4BD4" w:rsidRPr="00472126" w:rsidRDefault="001E4BD4" w:rsidP="001E4BD4">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Data and supplements available on request to the corresponding author.</w:t>
            </w:r>
          </w:p>
        </w:tc>
      </w:tr>
      <w:tr w:rsidR="00472126" w:rsidRPr="00472126" w14:paraId="6BBA31B7"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69C7919C"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Funding</w:t>
            </w:r>
          </w:p>
        </w:tc>
        <w:tc>
          <w:tcPr>
            <w:tcW w:w="6942" w:type="dxa"/>
            <w:vAlign w:val="top"/>
            <w:hideMark/>
          </w:tcPr>
          <w:p w14:paraId="2829EEC8" w14:textId="77777777" w:rsidR="001E4BD4" w:rsidRPr="00472126" w:rsidRDefault="001E4BD4" w:rsidP="001E4BD4">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NA</w:t>
            </w:r>
          </w:p>
        </w:tc>
      </w:tr>
      <w:tr w:rsidR="00472126" w:rsidRPr="00472126" w14:paraId="4387602E"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6112291F"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Ethical Approval</w:t>
            </w:r>
          </w:p>
        </w:tc>
        <w:tc>
          <w:tcPr>
            <w:tcW w:w="6942" w:type="dxa"/>
            <w:vAlign w:val="top"/>
            <w:hideMark/>
          </w:tcPr>
          <w:p w14:paraId="10C07CFB" w14:textId="2EB0EA0D" w:rsidR="001E4BD4" w:rsidRPr="00472126" w:rsidRDefault="001E4BD4" w:rsidP="000B4D10">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Institutional Review Board (IRB)</w:t>
            </w:r>
            <w:r w:rsidR="000B4D10" w:rsidRPr="00472126">
              <w:rPr>
                <w:rFonts w:asciiTheme="minorHAnsi" w:hAnsiTheme="minorHAnsi"/>
                <w:color w:val="404040" w:themeColor="text1" w:themeTint="BF"/>
                <w:sz w:val="22"/>
              </w:rPr>
              <w:t xml:space="preserve"> </w:t>
            </w:r>
            <w:r w:rsidR="000B4D10" w:rsidRPr="00472126">
              <w:rPr>
                <w:rFonts w:ascii="Georgia" w:hAnsi="Georgia"/>
                <w:color w:val="404040" w:themeColor="text1" w:themeTint="BF"/>
                <w:sz w:val="16"/>
                <w:szCs w:val="16"/>
              </w:rPr>
              <w:t>of Pakistan Institute of Medical Sciences, Islamabad</w:t>
            </w:r>
            <w:r w:rsidR="000B4D10" w:rsidRPr="00472126">
              <w:rPr>
                <w:rFonts w:ascii="Georgia" w:hAnsi="Georgia"/>
                <w:color w:val="404040" w:themeColor="text1" w:themeTint="BF"/>
                <w:sz w:val="16"/>
                <w:szCs w:val="16"/>
              </w:rPr>
              <w:t>.</w:t>
            </w:r>
          </w:p>
        </w:tc>
      </w:tr>
      <w:tr w:rsidR="00472126" w:rsidRPr="00472126" w14:paraId="4E83CC6E"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3B81AAFD"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Trial Registration</w:t>
            </w:r>
          </w:p>
        </w:tc>
        <w:tc>
          <w:tcPr>
            <w:tcW w:w="6942" w:type="dxa"/>
            <w:vAlign w:val="top"/>
            <w:hideMark/>
          </w:tcPr>
          <w:p w14:paraId="7889836C" w14:textId="77777777" w:rsidR="001E4BD4" w:rsidRPr="00472126" w:rsidRDefault="001E4BD4" w:rsidP="001E4BD4">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NA</w:t>
            </w:r>
          </w:p>
        </w:tc>
      </w:tr>
      <w:tr w:rsidR="00472126" w:rsidRPr="00472126" w14:paraId="163715E7" w14:textId="77777777" w:rsidTr="0070161D">
        <w:trPr>
          <w:trHeight w:val="364"/>
        </w:trPr>
        <w:tc>
          <w:tcPr>
            <w:cnfStyle w:val="001000000000" w:firstRow="0" w:lastRow="0" w:firstColumn="1" w:lastColumn="0" w:oddVBand="0" w:evenVBand="0" w:oddHBand="0" w:evenHBand="0" w:firstRowFirstColumn="0" w:firstRowLastColumn="0" w:lastRowFirstColumn="0" w:lastRowLastColumn="0"/>
            <w:tcW w:w="2268" w:type="dxa"/>
            <w:vAlign w:val="top"/>
            <w:hideMark/>
          </w:tcPr>
          <w:p w14:paraId="31467E17" w14:textId="77777777" w:rsidR="001E4BD4" w:rsidRPr="00472126" w:rsidRDefault="001E4BD4" w:rsidP="001E4BD4">
            <w:pPr>
              <w:pStyle w:val="NoSpacing"/>
              <w:spacing w:line="360" w:lineRule="auto"/>
              <w:jc w:val="left"/>
              <w:rPr>
                <w:rFonts w:ascii="Georgia" w:hAnsi="Georgia"/>
                <w:color w:val="404040" w:themeColor="text1" w:themeTint="BF"/>
                <w:sz w:val="16"/>
                <w:szCs w:val="16"/>
              </w:rPr>
            </w:pPr>
            <w:r w:rsidRPr="00472126">
              <w:rPr>
                <w:rFonts w:ascii="Georgia" w:hAnsi="Georgia"/>
                <w:color w:val="404040" w:themeColor="text1" w:themeTint="BF"/>
                <w:sz w:val="16"/>
                <w:szCs w:val="16"/>
              </w:rPr>
              <w:t>Acknowledgments</w:t>
            </w:r>
          </w:p>
        </w:tc>
        <w:tc>
          <w:tcPr>
            <w:tcW w:w="6942" w:type="dxa"/>
            <w:vAlign w:val="top"/>
            <w:hideMark/>
          </w:tcPr>
          <w:p w14:paraId="786001EF" w14:textId="77777777" w:rsidR="001E4BD4" w:rsidRPr="00472126" w:rsidRDefault="001E4BD4" w:rsidP="001E4BD4">
            <w:pPr>
              <w:pStyle w:val="NoSpacing"/>
              <w:spacing w:line="360" w:lineRule="auto"/>
              <w:jc w:val="left"/>
              <w:cnfStyle w:val="000000000000" w:firstRow="0" w:lastRow="0" w:firstColumn="0" w:lastColumn="0" w:oddVBand="0" w:evenVBand="0" w:oddHBand="0" w:evenHBand="0" w:firstRowFirstColumn="0" w:firstRowLastColumn="0" w:lastRowFirstColumn="0" w:lastRowLastColumn="0"/>
              <w:rPr>
                <w:rFonts w:ascii="Georgia" w:hAnsi="Georgia"/>
                <w:color w:val="404040" w:themeColor="text1" w:themeTint="BF"/>
                <w:sz w:val="16"/>
                <w:szCs w:val="16"/>
              </w:rPr>
            </w:pPr>
            <w:r w:rsidRPr="00472126">
              <w:rPr>
                <w:rFonts w:ascii="Georgia" w:hAnsi="Georgia"/>
                <w:color w:val="404040" w:themeColor="text1" w:themeTint="BF"/>
                <w:sz w:val="16"/>
                <w:szCs w:val="16"/>
              </w:rPr>
              <w:t>NA</w:t>
            </w:r>
          </w:p>
        </w:tc>
      </w:tr>
    </w:tbl>
    <w:p w14:paraId="5A4FFDEE" w14:textId="77777777" w:rsidR="00484DC9" w:rsidRPr="00472126" w:rsidRDefault="00484DC9" w:rsidP="00484DC9">
      <w:pPr>
        <w:pStyle w:val="Body"/>
        <w:jc w:val="center"/>
        <w:rPr>
          <w:i/>
          <w:iCs/>
          <w:noProof/>
          <w:szCs w:val="16"/>
        </w:rPr>
      </w:pPr>
      <w:r w:rsidRPr="00472126">
        <w:rPr>
          <w:i/>
          <w:iCs/>
          <w:noProof/>
          <w:szCs w:val="16"/>
        </w:rPr>
        <w:t>2024 © Open Access. This article is licensed under a Creative Commons Attribution 4.0 International License, which permits use, sharing, adaptation, distribution, and reproduction in any medium or format, with appropriate credit to the original author(s) and source, a link to the license, and an indication of any changes made. If the material is not covered by the license, permission from the copyright holder is required. More details are available at "Creative Commons License".</w:t>
      </w:r>
    </w:p>
    <w:p w14:paraId="49CD8A72" w14:textId="77777777" w:rsidR="002B12EA" w:rsidRPr="00472126" w:rsidRDefault="002B12EA" w:rsidP="001E4BD4">
      <w:pPr>
        <w:pStyle w:val="Body"/>
        <w:jc w:val="center"/>
        <w:rPr>
          <w:szCs w:val="16"/>
        </w:rPr>
      </w:pPr>
      <w:r w:rsidRPr="00472126">
        <w:rPr>
          <w:i/>
          <w:iCs/>
          <w:noProof/>
          <w:szCs w:val="16"/>
        </w:rPr>
        <w:drawing>
          <wp:inline distT="0" distB="0" distL="0" distR="0" wp14:anchorId="10431ECD" wp14:editId="7A016520">
            <wp:extent cx="1392422" cy="401003"/>
            <wp:effectExtent l="0" t="0" r="0" b="0"/>
            <wp:docPr id="1621769265" name="Picture 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69265" name="Picture 4" descr="A close-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497" cy="414848"/>
                    </a:xfrm>
                    <a:prstGeom prst="rect">
                      <a:avLst/>
                    </a:prstGeom>
                  </pic:spPr>
                </pic:pic>
              </a:graphicData>
            </a:graphic>
          </wp:inline>
        </w:drawing>
      </w:r>
    </w:p>
    <w:p w14:paraId="6D452256" w14:textId="77777777" w:rsidR="002B12EA" w:rsidRPr="00472126" w:rsidRDefault="002B12EA" w:rsidP="001E4BD4">
      <w:pPr>
        <w:pStyle w:val="Body"/>
        <w:jc w:val="center"/>
        <w:rPr>
          <w:szCs w:val="16"/>
        </w:rPr>
      </w:pPr>
      <w:r w:rsidRPr="00472126">
        <w:rPr>
          <w:szCs w:val="16"/>
        </w:rPr>
        <w:t>~ JHRR, ISSN: 2791-156X ~</w:t>
      </w:r>
    </w:p>
    <w:sectPr w:rsidR="002B12EA" w:rsidRPr="00472126" w:rsidSect="000800E8">
      <w:headerReference w:type="default" r:id="rId12"/>
      <w:footerReference w:type="default" r:id="rId13"/>
      <w:headerReference w:type="first" r:id="rId14"/>
      <w:footerReference w:type="first" r:id="rId15"/>
      <w:pgSz w:w="11907" w:h="16840"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CD2F21" w14:textId="77777777" w:rsidR="008137C6" w:rsidRDefault="008137C6" w:rsidP="00573BDF">
      <w:pPr>
        <w:spacing w:after="0" w:line="240" w:lineRule="auto"/>
      </w:pPr>
      <w:r>
        <w:separator/>
      </w:r>
    </w:p>
  </w:endnote>
  <w:endnote w:type="continuationSeparator" w:id="0">
    <w:p w14:paraId="06DAF303" w14:textId="77777777" w:rsidR="008137C6" w:rsidRDefault="008137C6" w:rsidP="00573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72888475" w:displacedByCustomXml="next"/>
  <w:bookmarkStart w:id="1" w:name="_Hlk172888474" w:displacedByCustomXml="next"/>
  <w:sdt>
    <w:sdtPr>
      <w:rPr>
        <w:rFonts w:ascii="Georgia" w:hAnsi="Georgia"/>
        <w:sz w:val="16"/>
        <w:szCs w:val="16"/>
      </w:rPr>
      <w:id w:val="1396473699"/>
      <w:docPartObj>
        <w:docPartGallery w:val="Page Numbers (Bottom of Page)"/>
        <w:docPartUnique/>
      </w:docPartObj>
    </w:sdtPr>
    <w:sdtEndPr>
      <w:rPr>
        <w:noProof/>
        <w:color w:val="7F7F7F" w:themeColor="text1" w:themeTint="80"/>
      </w:rPr>
    </w:sdtEndPr>
    <w:sdtContent>
      <w:p w14:paraId="579558D0" w14:textId="77777777" w:rsidR="006647C2" w:rsidRPr="001E4BD4" w:rsidRDefault="006647C2" w:rsidP="001E4BD4">
        <w:pPr>
          <w:pStyle w:val="Footer"/>
          <w:pBdr>
            <w:bottom w:val="single" w:sz="6" w:space="1" w:color="auto"/>
          </w:pBdr>
          <w:rPr>
            <w:rFonts w:ascii="Georgia" w:hAnsi="Georgia"/>
            <w:sz w:val="4"/>
            <w:szCs w:val="4"/>
          </w:rPr>
        </w:pPr>
      </w:p>
      <w:p w14:paraId="177D105C" w14:textId="6B2AB784" w:rsidR="006647C2" w:rsidRPr="00F979D3" w:rsidRDefault="006647C2" w:rsidP="002B12EA">
        <w:pPr>
          <w:pStyle w:val="Footer"/>
          <w:rPr>
            <w:rFonts w:ascii="Georgia" w:hAnsi="Georgia"/>
            <w:color w:val="7F7F7F" w:themeColor="text1" w:themeTint="80"/>
            <w:sz w:val="16"/>
            <w:szCs w:val="16"/>
          </w:rPr>
        </w:pPr>
        <w:bookmarkStart w:id="2" w:name="_Hlk173737611"/>
        <w:r w:rsidRPr="00F979D3">
          <w:rPr>
            <w:rFonts w:ascii="Georgia" w:hAnsi="Georgia"/>
            <w:color w:val="7F7F7F" w:themeColor="text1" w:themeTint="80"/>
            <w:sz w:val="16"/>
            <w:szCs w:val="16"/>
          </w:rPr>
          <w:t>DOI: https://doi.org/ 10.61919/</w:t>
        </w:r>
        <w:proofErr w:type="spellStart"/>
        <w:r w:rsidRPr="00F979D3">
          <w:rPr>
            <w:rFonts w:ascii="Georgia" w:hAnsi="Georgia"/>
            <w:color w:val="7F7F7F" w:themeColor="text1" w:themeTint="80"/>
            <w:sz w:val="16"/>
            <w:szCs w:val="16"/>
          </w:rPr>
          <w:t>jhrr</w:t>
        </w:r>
        <w:proofErr w:type="spellEnd"/>
        <w:r w:rsidRPr="00F979D3">
          <w:rPr>
            <w:rFonts w:ascii="Georgia" w:hAnsi="Georgia"/>
            <w:color w:val="7F7F7F" w:themeColor="text1" w:themeTint="80"/>
            <w:sz w:val="16"/>
            <w:szCs w:val="16"/>
          </w:rPr>
          <w:t>. v4i3.1</w:t>
        </w:r>
        <w:r w:rsidR="002A62E6">
          <w:rPr>
            <w:rFonts w:ascii="Georgia" w:hAnsi="Georgia"/>
            <w:color w:val="7F7F7F" w:themeColor="text1" w:themeTint="80"/>
            <w:sz w:val="16"/>
            <w:szCs w:val="16"/>
          </w:rPr>
          <w:t>366</w:t>
        </w:r>
        <w:r w:rsidRPr="00F979D3">
          <w:rPr>
            <w:rFonts w:ascii="Georgia" w:hAnsi="Georgia"/>
            <w:color w:val="7F7F7F" w:themeColor="text1" w:themeTint="80"/>
            <w:sz w:val="16"/>
            <w:szCs w:val="16"/>
          </w:rPr>
          <w:t xml:space="preserve">; 2024 © Open access: Creative Commons; Double </w:t>
        </w:r>
        <w:r w:rsidR="001E4BD4" w:rsidRPr="00F979D3">
          <w:rPr>
            <w:rFonts w:ascii="Georgia" w:hAnsi="Georgia"/>
            <w:color w:val="7F7F7F" w:themeColor="text1" w:themeTint="80"/>
            <w:sz w:val="16"/>
            <w:szCs w:val="16"/>
          </w:rPr>
          <w:t>B</w:t>
        </w:r>
        <w:r w:rsidRPr="00F979D3">
          <w:rPr>
            <w:rFonts w:ascii="Georgia" w:hAnsi="Georgia"/>
            <w:color w:val="7F7F7F" w:themeColor="text1" w:themeTint="80"/>
            <w:sz w:val="16"/>
            <w:szCs w:val="16"/>
          </w:rPr>
          <w:t xml:space="preserve">lind </w:t>
        </w:r>
        <w:r w:rsidR="001E4BD4" w:rsidRPr="00F979D3">
          <w:rPr>
            <w:rFonts w:ascii="Georgia" w:hAnsi="Georgia"/>
            <w:color w:val="7F7F7F" w:themeColor="text1" w:themeTint="80"/>
            <w:sz w:val="16"/>
            <w:szCs w:val="16"/>
          </w:rPr>
          <w:t>P</w:t>
        </w:r>
        <w:r w:rsidRPr="00F979D3">
          <w:rPr>
            <w:rFonts w:ascii="Georgia" w:hAnsi="Georgia"/>
            <w:color w:val="7F7F7F" w:themeColor="text1" w:themeTint="80"/>
            <w:sz w:val="16"/>
            <w:szCs w:val="16"/>
          </w:rPr>
          <w:t xml:space="preserve">eer </w:t>
        </w:r>
        <w:r w:rsidR="001E4BD4" w:rsidRPr="00F979D3">
          <w:rPr>
            <w:rFonts w:ascii="Georgia" w:hAnsi="Georgia"/>
            <w:color w:val="7F7F7F" w:themeColor="text1" w:themeTint="80"/>
            <w:sz w:val="16"/>
            <w:szCs w:val="16"/>
          </w:rPr>
          <w:t>R</w:t>
        </w:r>
        <w:r w:rsidRPr="00F979D3">
          <w:rPr>
            <w:rFonts w:ascii="Georgia" w:hAnsi="Georgia"/>
            <w:color w:val="7F7F7F" w:themeColor="text1" w:themeTint="80"/>
            <w:sz w:val="16"/>
            <w:szCs w:val="16"/>
          </w:rPr>
          <w:t>eviewed</w:t>
        </w:r>
        <w:bookmarkEnd w:id="2"/>
        <w:r w:rsidRPr="00F979D3">
          <w:rPr>
            <w:rFonts w:ascii="Georgia" w:hAnsi="Georgia"/>
            <w:color w:val="7F7F7F" w:themeColor="text1" w:themeTint="80"/>
            <w:sz w:val="16"/>
            <w:szCs w:val="16"/>
          </w:rPr>
          <w:tab/>
          <w:t xml:space="preserve"> </w:t>
        </w:r>
        <w:r w:rsidRPr="00F979D3">
          <w:rPr>
            <w:rFonts w:ascii="Georgia" w:hAnsi="Georgia"/>
            <w:color w:val="7F7F7F" w:themeColor="text1" w:themeTint="80"/>
            <w:sz w:val="16"/>
            <w:szCs w:val="16"/>
          </w:rPr>
          <w:fldChar w:fldCharType="begin"/>
        </w:r>
        <w:r w:rsidRPr="00F979D3">
          <w:rPr>
            <w:rFonts w:ascii="Georgia" w:hAnsi="Georgia"/>
            <w:color w:val="7F7F7F" w:themeColor="text1" w:themeTint="80"/>
            <w:sz w:val="16"/>
            <w:szCs w:val="16"/>
          </w:rPr>
          <w:instrText xml:space="preserve"> PAGE   \* MERGEFORMAT </w:instrText>
        </w:r>
        <w:r w:rsidRPr="00F979D3">
          <w:rPr>
            <w:rFonts w:ascii="Georgia" w:hAnsi="Georgia"/>
            <w:color w:val="7F7F7F" w:themeColor="text1" w:themeTint="80"/>
            <w:sz w:val="16"/>
            <w:szCs w:val="16"/>
          </w:rPr>
          <w:fldChar w:fldCharType="separate"/>
        </w:r>
        <w:r w:rsidRPr="00F979D3">
          <w:rPr>
            <w:rFonts w:ascii="Georgia" w:hAnsi="Georgia"/>
            <w:noProof/>
            <w:color w:val="7F7F7F" w:themeColor="text1" w:themeTint="80"/>
            <w:sz w:val="16"/>
            <w:szCs w:val="16"/>
          </w:rPr>
          <w:t>2</w:t>
        </w:r>
        <w:r w:rsidRPr="00F979D3">
          <w:rPr>
            <w:rFonts w:ascii="Georgia" w:hAnsi="Georgia"/>
            <w:noProof/>
            <w:color w:val="7F7F7F" w:themeColor="text1" w:themeTint="80"/>
            <w:sz w:val="16"/>
            <w:szCs w:val="16"/>
          </w:rPr>
          <w:fldChar w:fldCharType="end"/>
        </w:r>
      </w:p>
    </w:sdtContent>
  </w:sdt>
  <w:bookmarkEnd w:id="0" w:displacedByCustomXml="prev"/>
  <w:bookmarkEnd w:id="1"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Georgia" w:hAnsi="Georgia"/>
        <w:sz w:val="16"/>
        <w:szCs w:val="16"/>
      </w:rPr>
      <w:id w:val="-244805042"/>
      <w:docPartObj>
        <w:docPartGallery w:val="Page Numbers (Bottom of Page)"/>
        <w:docPartUnique/>
      </w:docPartObj>
    </w:sdtPr>
    <w:sdtEndPr>
      <w:rPr>
        <w:noProof/>
        <w:color w:val="7F7F7F" w:themeColor="text1" w:themeTint="80"/>
      </w:rPr>
    </w:sdtEndPr>
    <w:sdtContent>
      <w:p w14:paraId="2CA87925" w14:textId="77777777" w:rsidR="002B12EA" w:rsidRDefault="002B12EA" w:rsidP="002B12EA">
        <w:pPr>
          <w:pStyle w:val="Footer"/>
          <w:pBdr>
            <w:bottom w:val="single" w:sz="6" w:space="1" w:color="auto"/>
          </w:pBdr>
          <w:jc w:val="both"/>
          <w:rPr>
            <w:rFonts w:ascii="Georgia" w:hAnsi="Georgia"/>
            <w:sz w:val="16"/>
            <w:szCs w:val="16"/>
          </w:rPr>
        </w:pPr>
      </w:p>
      <w:p w14:paraId="563C50B0" w14:textId="309F2FDC" w:rsidR="004C4D0D" w:rsidRPr="00F979D3" w:rsidRDefault="002B12EA" w:rsidP="002B12EA">
        <w:pPr>
          <w:pStyle w:val="Footer"/>
          <w:jc w:val="both"/>
          <w:rPr>
            <w:rFonts w:ascii="Georgia" w:hAnsi="Georgia" w:cstheme="majorBidi"/>
            <w:color w:val="7F7F7F" w:themeColor="text1" w:themeTint="80"/>
            <w:sz w:val="16"/>
            <w:szCs w:val="16"/>
          </w:rPr>
        </w:pPr>
        <w:r w:rsidRPr="00F979D3">
          <w:rPr>
            <w:rFonts w:ascii="Georgia" w:hAnsi="Georgia" w:cstheme="majorBidi"/>
            <w:color w:val="7F7F7F" w:themeColor="text1" w:themeTint="80"/>
            <w:sz w:val="16"/>
            <w:szCs w:val="16"/>
          </w:rPr>
          <w:t>DOI: https://doi.org/ 10.61919/</w:t>
        </w:r>
        <w:proofErr w:type="spellStart"/>
        <w:r w:rsidRPr="00F979D3">
          <w:rPr>
            <w:rFonts w:ascii="Georgia" w:hAnsi="Georgia" w:cstheme="majorBidi"/>
            <w:color w:val="7F7F7F" w:themeColor="text1" w:themeTint="80"/>
            <w:sz w:val="16"/>
            <w:szCs w:val="16"/>
          </w:rPr>
          <w:t>jhrr</w:t>
        </w:r>
        <w:proofErr w:type="spellEnd"/>
        <w:r w:rsidRPr="00F979D3">
          <w:rPr>
            <w:rFonts w:ascii="Georgia" w:hAnsi="Georgia" w:cstheme="majorBidi"/>
            <w:color w:val="7F7F7F" w:themeColor="text1" w:themeTint="80"/>
            <w:sz w:val="16"/>
            <w:szCs w:val="16"/>
          </w:rPr>
          <w:t>. v4i3.1</w:t>
        </w:r>
        <w:r w:rsidR="002A62E6">
          <w:rPr>
            <w:rFonts w:ascii="Georgia" w:hAnsi="Georgia" w:cstheme="majorBidi"/>
            <w:color w:val="7F7F7F" w:themeColor="text1" w:themeTint="80"/>
            <w:sz w:val="16"/>
            <w:szCs w:val="16"/>
          </w:rPr>
          <w:t>366</w:t>
        </w:r>
        <w:r w:rsidRPr="00F979D3">
          <w:rPr>
            <w:rFonts w:ascii="Georgia" w:hAnsi="Georgia" w:cstheme="majorBidi"/>
            <w:color w:val="7F7F7F" w:themeColor="text1" w:themeTint="80"/>
            <w:sz w:val="16"/>
            <w:szCs w:val="16"/>
          </w:rPr>
          <w:t xml:space="preserve">; 2024 © Open access: Creative Commons; Double Blind Peer Reviewed </w:t>
        </w:r>
        <w:r w:rsidRPr="00F979D3">
          <w:rPr>
            <w:rFonts w:ascii="Georgia" w:hAnsi="Georgia" w:cstheme="majorBidi"/>
            <w:color w:val="7F7F7F" w:themeColor="text1" w:themeTint="80"/>
            <w:sz w:val="16"/>
            <w:szCs w:val="16"/>
          </w:rPr>
          <w:tab/>
        </w:r>
        <w:r w:rsidR="006647C2" w:rsidRPr="00F979D3">
          <w:rPr>
            <w:rFonts w:ascii="Georgia" w:hAnsi="Georgia"/>
            <w:color w:val="7F7F7F" w:themeColor="text1" w:themeTint="80"/>
            <w:sz w:val="16"/>
            <w:szCs w:val="16"/>
          </w:rPr>
          <w:fldChar w:fldCharType="begin"/>
        </w:r>
        <w:r w:rsidR="006647C2" w:rsidRPr="00F979D3">
          <w:rPr>
            <w:rFonts w:ascii="Georgia" w:hAnsi="Georgia"/>
            <w:color w:val="7F7F7F" w:themeColor="text1" w:themeTint="80"/>
            <w:sz w:val="16"/>
            <w:szCs w:val="16"/>
          </w:rPr>
          <w:instrText xml:space="preserve"> PAGE   \* MERGEFORMAT </w:instrText>
        </w:r>
        <w:r w:rsidR="006647C2" w:rsidRPr="00F979D3">
          <w:rPr>
            <w:rFonts w:ascii="Georgia" w:hAnsi="Georgia"/>
            <w:color w:val="7F7F7F" w:themeColor="text1" w:themeTint="80"/>
            <w:sz w:val="16"/>
            <w:szCs w:val="16"/>
          </w:rPr>
          <w:fldChar w:fldCharType="separate"/>
        </w:r>
        <w:r w:rsidR="006647C2" w:rsidRPr="00F979D3">
          <w:rPr>
            <w:rFonts w:ascii="Georgia" w:hAnsi="Georgia"/>
            <w:noProof/>
            <w:color w:val="7F7F7F" w:themeColor="text1" w:themeTint="80"/>
            <w:sz w:val="16"/>
            <w:szCs w:val="16"/>
          </w:rPr>
          <w:t>2</w:t>
        </w:r>
        <w:r w:rsidR="006647C2" w:rsidRPr="00F979D3">
          <w:rPr>
            <w:rFonts w:ascii="Georgia" w:hAnsi="Georgia"/>
            <w:noProof/>
            <w:color w:val="7F7F7F" w:themeColor="text1" w:themeTint="8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52FD4" w14:textId="77777777" w:rsidR="008137C6" w:rsidRDefault="008137C6" w:rsidP="00573BDF">
      <w:pPr>
        <w:spacing w:after="0" w:line="240" w:lineRule="auto"/>
      </w:pPr>
      <w:r>
        <w:separator/>
      </w:r>
    </w:p>
  </w:footnote>
  <w:footnote w:type="continuationSeparator" w:id="0">
    <w:p w14:paraId="40A52D54" w14:textId="77777777" w:rsidR="008137C6" w:rsidRDefault="008137C6" w:rsidP="00573B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B18E0" w14:textId="646EBA60" w:rsidR="00655AEA" w:rsidRPr="00F979D3" w:rsidRDefault="00BC3D79" w:rsidP="002A62E6">
    <w:pPr>
      <w:pStyle w:val="Header"/>
      <w:pBdr>
        <w:bottom w:val="single" w:sz="6" w:space="1" w:color="auto"/>
      </w:pBdr>
      <w:rPr>
        <w:rFonts w:ascii="Georgia" w:hAnsi="Georgia" w:cstheme="majorBidi"/>
        <w:color w:val="7F7F7F" w:themeColor="text1" w:themeTint="80"/>
        <w:sz w:val="16"/>
        <w:szCs w:val="16"/>
        <w:lang w:val="en-US"/>
      </w:rPr>
    </w:pPr>
    <w:proofErr w:type="spellStart"/>
    <w:r>
      <w:rPr>
        <w:rFonts w:ascii="Georgia" w:hAnsi="Georgia" w:cstheme="majorBidi"/>
        <w:color w:val="7F7F7F" w:themeColor="text1" w:themeTint="80"/>
        <w:sz w:val="16"/>
        <w:szCs w:val="16"/>
        <w:lang w:val="en-US"/>
      </w:rPr>
      <w:t>Zarait</w:t>
    </w:r>
    <w:proofErr w:type="spellEnd"/>
    <w:r w:rsidR="001E4BD4" w:rsidRPr="00F979D3">
      <w:rPr>
        <w:rFonts w:ascii="Georgia" w:hAnsi="Georgia" w:cstheme="majorBidi"/>
        <w:color w:val="7F7F7F" w:themeColor="text1" w:themeTint="80"/>
        <w:sz w:val="16"/>
        <w:szCs w:val="16"/>
        <w:lang w:val="en-US"/>
      </w:rPr>
      <w:t xml:space="preserve"> A. et al., 2024, JHRR, V4, I3</w:t>
    </w:r>
    <w:r w:rsidR="001E4BD4" w:rsidRPr="00F979D3">
      <w:rPr>
        <w:rFonts w:ascii="Georgia" w:hAnsi="Georgia" w:cstheme="majorBidi"/>
        <w:color w:val="7F7F7F" w:themeColor="text1" w:themeTint="80"/>
        <w:sz w:val="16"/>
        <w:szCs w:val="16"/>
        <w:lang w:val="en-US"/>
      </w:rPr>
      <w:tab/>
    </w:r>
    <w:r w:rsidR="001E4BD4" w:rsidRPr="00F979D3">
      <w:rPr>
        <w:rFonts w:ascii="Georgia" w:hAnsi="Georgia" w:cstheme="majorBidi"/>
        <w:color w:val="7F7F7F" w:themeColor="text1" w:themeTint="80"/>
        <w:sz w:val="16"/>
        <w:szCs w:val="16"/>
        <w:lang w:val="en-US"/>
      </w:rPr>
      <w:tab/>
    </w:r>
    <w:r w:rsidR="002A62E6" w:rsidRPr="002A62E6">
      <w:rPr>
        <w:rFonts w:ascii="Georgia" w:hAnsi="Georgia" w:cstheme="majorBidi"/>
        <w:color w:val="7F7F7F" w:themeColor="text1" w:themeTint="80"/>
        <w:sz w:val="16"/>
        <w:szCs w:val="16"/>
      </w:rPr>
      <w:t>Shock Index Predicts Long-Term Mortality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C3416" w14:textId="77777777" w:rsidR="00573BDF" w:rsidRPr="00043881" w:rsidRDefault="000800E8" w:rsidP="000800E8">
    <w:pPr>
      <w:jc w:val="right"/>
    </w:pPr>
    <w:r>
      <w:rPr>
        <w:noProof/>
      </w:rPr>
      <w:drawing>
        <wp:inline distT="0" distB="0" distL="0" distR="0" wp14:anchorId="4F13250D" wp14:editId="2C814C40">
          <wp:extent cx="1995804" cy="364603"/>
          <wp:effectExtent l="0" t="0" r="5080" b="0"/>
          <wp:docPr id="1427168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68253" name="Picture 1427168253"/>
                  <pic:cNvPicPr/>
                </pic:nvPicPr>
                <pic:blipFill rotWithShape="1">
                  <a:blip r:embed="rId1">
                    <a:extLst>
                      <a:ext uri="{28A0092B-C50C-407E-A947-70E740481C1C}">
                        <a14:useLocalDpi xmlns:a14="http://schemas.microsoft.com/office/drawing/2010/main" val="0"/>
                      </a:ext>
                    </a:extLst>
                  </a:blip>
                  <a:srcRect t="27246" r="6817" b="27748"/>
                  <a:stretch/>
                </pic:blipFill>
                <pic:spPr bwMode="auto">
                  <a:xfrm>
                    <a:off x="0" y="0"/>
                    <a:ext cx="2041261" cy="3729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D1F53"/>
    <w:multiLevelType w:val="hybridMultilevel"/>
    <w:tmpl w:val="AB0422F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3633F3D"/>
    <w:multiLevelType w:val="multilevel"/>
    <w:tmpl w:val="70FCD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B50EC"/>
    <w:multiLevelType w:val="hybridMultilevel"/>
    <w:tmpl w:val="DAD01AB8"/>
    <w:lvl w:ilvl="0" w:tplc="139E0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B0905"/>
    <w:multiLevelType w:val="hybridMultilevel"/>
    <w:tmpl w:val="A11AF8DA"/>
    <w:lvl w:ilvl="0" w:tplc="CF06C666">
      <w:start w:val="1"/>
      <w:numFmt w:val="decimal"/>
      <w:pStyle w:val="Affilitations"/>
      <w:lvlText w:val="%1"/>
      <w:lvlJc w:val="left"/>
      <w:pPr>
        <w:ind w:left="360" w:hanging="360"/>
      </w:pPr>
      <w:rPr>
        <w:rFonts w:ascii="Georgia" w:hAnsi="Georgia" w:cs="Georgia" w:hint="default"/>
        <w:b w:val="0"/>
        <w:bCs w:val="0"/>
        <w:i w:val="0"/>
        <w:iCs w:val="0"/>
        <w:caps w:val="0"/>
        <w:strike w:val="0"/>
        <w:dstrike w:val="0"/>
        <w:vanish w:val="0"/>
        <w:spacing w:val="0"/>
        <w:w w:val="100"/>
        <w:kern w:val="0"/>
        <w:position w:val="0"/>
        <w:sz w:val="16"/>
        <w:szCs w:val="16"/>
        <w:vertAlign w:val="baseline"/>
        <w14:ligatures w14:val="standard"/>
        <w14:numForm w14:val="lining"/>
        <w14:numSpacing w14:val="default"/>
        <w14:stylisticSets>
          <w14:styleSet w14:id="1"/>
        </w14:stylisticSets>
        <w14:cntxtAlts/>
      </w:rPr>
    </w:lvl>
    <w:lvl w:ilvl="1" w:tplc="04090019" w:tentative="1">
      <w:start w:val="1"/>
      <w:numFmt w:val="lowerLetter"/>
      <w:lvlText w:val="%2."/>
      <w:lvlJc w:val="left"/>
      <w:pPr>
        <w:ind w:left="3992" w:hanging="360"/>
      </w:pPr>
    </w:lvl>
    <w:lvl w:ilvl="2" w:tplc="0409001B" w:tentative="1">
      <w:start w:val="1"/>
      <w:numFmt w:val="lowerRoman"/>
      <w:lvlText w:val="%3."/>
      <w:lvlJc w:val="right"/>
      <w:pPr>
        <w:ind w:left="4712" w:hanging="180"/>
      </w:pPr>
    </w:lvl>
    <w:lvl w:ilvl="3" w:tplc="0409000F" w:tentative="1">
      <w:start w:val="1"/>
      <w:numFmt w:val="decimal"/>
      <w:lvlText w:val="%4."/>
      <w:lvlJc w:val="left"/>
      <w:pPr>
        <w:ind w:left="5432" w:hanging="360"/>
      </w:pPr>
    </w:lvl>
    <w:lvl w:ilvl="4" w:tplc="04090019" w:tentative="1">
      <w:start w:val="1"/>
      <w:numFmt w:val="lowerLetter"/>
      <w:lvlText w:val="%5."/>
      <w:lvlJc w:val="left"/>
      <w:pPr>
        <w:ind w:left="6152" w:hanging="360"/>
      </w:pPr>
    </w:lvl>
    <w:lvl w:ilvl="5" w:tplc="0409001B" w:tentative="1">
      <w:start w:val="1"/>
      <w:numFmt w:val="lowerRoman"/>
      <w:lvlText w:val="%6."/>
      <w:lvlJc w:val="right"/>
      <w:pPr>
        <w:ind w:left="6872" w:hanging="180"/>
      </w:pPr>
    </w:lvl>
    <w:lvl w:ilvl="6" w:tplc="0409000F" w:tentative="1">
      <w:start w:val="1"/>
      <w:numFmt w:val="decimal"/>
      <w:lvlText w:val="%7."/>
      <w:lvlJc w:val="left"/>
      <w:pPr>
        <w:ind w:left="7592" w:hanging="360"/>
      </w:pPr>
    </w:lvl>
    <w:lvl w:ilvl="7" w:tplc="04090019" w:tentative="1">
      <w:start w:val="1"/>
      <w:numFmt w:val="lowerLetter"/>
      <w:lvlText w:val="%8."/>
      <w:lvlJc w:val="left"/>
      <w:pPr>
        <w:ind w:left="8312" w:hanging="360"/>
      </w:pPr>
    </w:lvl>
    <w:lvl w:ilvl="8" w:tplc="0409001B" w:tentative="1">
      <w:start w:val="1"/>
      <w:numFmt w:val="lowerRoman"/>
      <w:lvlText w:val="%9."/>
      <w:lvlJc w:val="right"/>
      <w:pPr>
        <w:ind w:left="9032" w:hanging="180"/>
      </w:pPr>
    </w:lvl>
  </w:abstractNum>
  <w:abstractNum w:abstractNumId="4" w15:restartNumberingAfterBreak="0">
    <w:nsid w:val="28D829C0"/>
    <w:multiLevelType w:val="hybridMultilevel"/>
    <w:tmpl w:val="782A6168"/>
    <w:lvl w:ilvl="0" w:tplc="139E01C8">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B995A5B"/>
    <w:multiLevelType w:val="hybridMultilevel"/>
    <w:tmpl w:val="29841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E3653F"/>
    <w:multiLevelType w:val="hybridMultilevel"/>
    <w:tmpl w:val="6C1CCE2A"/>
    <w:lvl w:ilvl="0" w:tplc="5BE86E9C">
      <w:start w:val="1"/>
      <w:numFmt w:val="decimal"/>
      <w:pStyle w:val="Heading1"/>
      <w:lvlText w:val="%1"/>
      <w:lvlJc w:val="left"/>
      <w:pPr>
        <w:ind w:left="360" w:hanging="360"/>
      </w:pPr>
      <w:rPr>
        <w:rFonts w:ascii="Georgia" w:hAnsi="Georgia" w:cs="Georgia" w:hint="default"/>
        <w:b/>
        <w:bCs/>
        <w:i w:val="0"/>
        <w:iCs w:val="0"/>
        <w:caps w:val="0"/>
        <w:strike w:val="0"/>
        <w:dstrike w:val="0"/>
        <w:vanish w:val="0"/>
        <w:kern w:val="0"/>
        <w:sz w:val="24"/>
        <w:szCs w:val="28"/>
        <w:vertAlign w:val="baseline"/>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C0463B"/>
    <w:multiLevelType w:val="hybridMultilevel"/>
    <w:tmpl w:val="12E40940"/>
    <w:lvl w:ilvl="0" w:tplc="139E01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493CD0"/>
    <w:multiLevelType w:val="hybridMultilevel"/>
    <w:tmpl w:val="5ED6C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53E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2577F36"/>
    <w:multiLevelType w:val="hybridMultilevel"/>
    <w:tmpl w:val="F1F029EC"/>
    <w:lvl w:ilvl="0" w:tplc="93EC4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135C13"/>
    <w:multiLevelType w:val="hybridMultilevel"/>
    <w:tmpl w:val="0BA06C98"/>
    <w:lvl w:ilvl="0" w:tplc="93EC41E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C294E"/>
    <w:multiLevelType w:val="hybridMultilevel"/>
    <w:tmpl w:val="AAD434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586786"/>
    <w:multiLevelType w:val="hybridMultilevel"/>
    <w:tmpl w:val="8BA6D8C2"/>
    <w:lvl w:ilvl="0" w:tplc="A7F844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7F7E9B"/>
    <w:multiLevelType w:val="hybridMultilevel"/>
    <w:tmpl w:val="41466A28"/>
    <w:lvl w:ilvl="0" w:tplc="D624DED6">
      <w:start w:val="1"/>
      <w:numFmt w:val="decimal"/>
      <w:pStyle w:val="References"/>
      <w:lvlText w:val="%1"/>
      <w:lvlJc w:val="left"/>
      <w:pPr>
        <w:ind w:left="360" w:hanging="360"/>
      </w:pPr>
      <w:rPr>
        <w:rFonts w:ascii="Georgia" w:hAnsi="Georgia"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9045B06"/>
    <w:multiLevelType w:val="multilevel"/>
    <w:tmpl w:val="E604BB0E"/>
    <w:lvl w:ilvl="0">
      <w:start w:val="1"/>
      <w:numFmt w:val="decimal"/>
      <w:lvlText w:val="%1"/>
      <w:lvlJc w:val="left"/>
      <w:pPr>
        <w:ind w:left="360" w:hanging="360"/>
      </w:pPr>
      <w:rPr>
        <w:rFonts w:ascii="Georgia" w:hAnsi="Georgia" w:cstheme="majorBidi" w:hint="default"/>
        <w:b/>
        <w:bCs/>
        <w:i w:val="0"/>
        <w:iCs w:val="0"/>
        <w:caps w:val="0"/>
        <w:strike w:val="0"/>
        <w:dstrike w:val="0"/>
        <w:vanish w:val="0"/>
        <w:sz w:val="28"/>
        <w:szCs w:val="28"/>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84904657">
    <w:abstractNumId w:val="5"/>
  </w:num>
  <w:num w:numId="2" w16cid:durableId="1663587348">
    <w:abstractNumId w:val="10"/>
  </w:num>
  <w:num w:numId="3" w16cid:durableId="755903032">
    <w:abstractNumId w:val="11"/>
  </w:num>
  <w:num w:numId="4" w16cid:durableId="153106869">
    <w:abstractNumId w:val="2"/>
  </w:num>
  <w:num w:numId="5" w16cid:durableId="510527545">
    <w:abstractNumId w:val="7"/>
  </w:num>
  <w:num w:numId="6" w16cid:durableId="990602782">
    <w:abstractNumId w:val="13"/>
  </w:num>
  <w:num w:numId="7" w16cid:durableId="157111130">
    <w:abstractNumId w:val="12"/>
  </w:num>
  <w:num w:numId="8" w16cid:durableId="1865288538">
    <w:abstractNumId w:val="4"/>
  </w:num>
  <w:num w:numId="9" w16cid:durableId="1148547299">
    <w:abstractNumId w:val="15"/>
  </w:num>
  <w:num w:numId="10" w16cid:durableId="1822774085">
    <w:abstractNumId w:val="0"/>
  </w:num>
  <w:num w:numId="11" w16cid:durableId="191235357">
    <w:abstractNumId w:val="9"/>
  </w:num>
  <w:num w:numId="12" w16cid:durableId="1551575416">
    <w:abstractNumId w:val="3"/>
  </w:num>
  <w:num w:numId="13" w16cid:durableId="1876849886">
    <w:abstractNumId w:val="6"/>
  </w:num>
  <w:num w:numId="14" w16cid:durableId="368184083">
    <w:abstractNumId w:val="14"/>
  </w:num>
  <w:num w:numId="15" w16cid:durableId="1730691778">
    <w:abstractNumId w:val="1"/>
  </w:num>
  <w:num w:numId="16" w16cid:durableId="14128461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grammar="clean"/>
  <w:attachedTemplate r:id="rId1"/>
  <w:mailMerge>
    <w:mainDocumentType w:val="formLetters"/>
    <w:linkToQuery/>
    <w:dataType w:val="native"/>
    <w:connectString w:val="Provider=Microsoft.ACE.OLEDB.12.0;User ID=Admin;Data Source=C:\Users\suhai\OneDrive\Documents\Te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activeRecord w:val="-1"/>
    <w:odso>
      <w:udl w:val="Provider=Microsoft.ACE.OLEDB.12.0;User ID=Admin;Data Source=C:\Users\suhai\OneDrive\Documents\Test.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2050">
      <o:colormru v:ext="edit" colors="#bffffb,#bfffbb,#bfbfbb,white,#fffffb,#fffbbb,#fbb,#bf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7C6"/>
    <w:rsid w:val="00003ED2"/>
    <w:rsid w:val="00022025"/>
    <w:rsid w:val="0003475F"/>
    <w:rsid w:val="000411CA"/>
    <w:rsid w:val="00043881"/>
    <w:rsid w:val="00050E94"/>
    <w:rsid w:val="0007371F"/>
    <w:rsid w:val="0007667D"/>
    <w:rsid w:val="00077F73"/>
    <w:rsid w:val="000800E8"/>
    <w:rsid w:val="00080441"/>
    <w:rsid w:val="000B0696"/>
    <w:rsid w:val="000B4D10"/>
    <w:rsid w:val="000F2390"/>
    <w:rsid w:val="0010705A"/>
    <w:rsid w:val="001119D7"/>
    <w:rsid w:val="00120134"/>
    <w:rsid w:val="00143CF3"/>
    <w:rsid w:val="00152960"/>
    <w:rsid w:val="00165D4C"/>
    <w:rsid w:val="001B0D45"/>
    <w:rsid w:val="001B6A0A"/>
    <w:rsid w:val="001D1229"/>
    <w:rsid w:val="001E4BD4"/>
    <w:rsid w:val="0020225C"/>
    <w:rsid w:val="0026013F"/>
    <w:rsid w:val="002826B5"/>
    <w:rsid w:val="002A62E6"/>
    <w:rsid w:val="002B12EA"/>
    <w:rsid w:val="00316639"/>
    <w:rsid w:val="00386FD0"/>
    <w:rsid w:val="003E5988"/>
    <w:rsid w:val="00401403"/>
    <w:rsid w:val="0041225E"/>
    <w:rsid w:val="004508C2"/>
    <w:rsid w:val="00472126"/>
    <w:rsid w:val="00484DC9"/>
    <w:rsid w:val="004A1F4C"/>
    <w:rsid w:val="004C4D0D"/>
    <w:rsid w:val="004C636C"/>
    <w:rsid w:val="004F3533"/>
    <w:rsid w:val="00512C3A"/>
    <w:rsid w:val="005266BC"/>
    <w:rsid w:val="00573BDF"/>
    <w:rsid w:val="005A23CF"/>
    <w:rsid w:val="00615BE5"/>
    <w:rsid w:val="00634CFC"/>
    <w:rsid w:val="00655AEA"/>
    <w:rsid w:val="006647C2"/>
    <w:rsid w:val="00683011"/>
    <w:rsid w:val="00684BC6"/>
    <w:rsid w:val="00685E4E"/>
    <w:rsid w:val="006A7B32"/>
    <w:rsid w:val="006D0040"/>
    <w:rsid w:val="006F082D"/>
    <w:rsid w:val="006F268E"/>
    <w:rsid w:val="006F3F89"/>
    <w:rsid w:val="00732F33"/>
    <w:rsid w:val="0074374B"/>
    <w:rsid w:val="00786A87"/>
    <w:rsid w:val="007A0F6B"/>
    <w:rsid w:val="008137C6"/>
    <w:rsid w:val="00813E98"/>
    <w:rsid w:val="008366F4"/>
    <w:rsid w:val="008463F1"/>
    <w:rsid w:val="0087337C"/>
    <w:rsid w:val="008773D1"/>
    <w:rsid w:val="00895742"/>
    <w:rsid w:val="008A3867"/>
    <w:rsid w:val="008D364D"/>
    <w:rsid w:val="009016E3"/>
    <w:rsid w:val="00913CC1"/>
    <w:rsid w:val="00915922"/>
    <w:rsid w:val="00971F2F"/>
    <w:rsid w:val="00975E0F"/>
    <w:rsid w:val="009775D6"/>
    <w:rsid w:val="00993E24"/>
    <w:rsid w:val="009A1815"/>
    <w:rsid w:val="00A10FA0"/>
    <w:rsid w:val="00A50694"/>
    <w:rsid w:val="00A851DF"/>
    <w:rsid w:val="00B1279F"/>
    <w:rsid w:val="00B37CC5"/>
    <w:rsid w:val="00B725B4"/>
    <w:rsid w:val="00B72911"/>
    <w:rsid w:val="00B90F58"/>
    <w:rsid w:val="00B94C4F"/>
    <w:rsid w:val="00BA3772"/>
    <w:rsid w:val="00BC33A5"/>
    <w:rsid w:val="00BC3D79"/>
    <w:rsid w:val="00BC7C85"/>
    <w:rsid w:val="00BD0438"/>
    <w:rsid w:val="00BD5A2F"/>
    <w:rsid w:val="00C076E2"/>
    <w:rsid w:val="00C2125E"/>
    <w:rsid w:val="00C26E11"/>
    <w:rsid w:val="00C51620"/>
    <w:rsid w:val="00CE21F0"/>
    <w:rsid w:val="00CF4123"/>
    <w:rsid w:val="00D10EA4"/>
    <w:rsid w:val="00D1248A"/>
    <w:rsid w:val="00D62174"/>
    <w:rsid w:val="00D662E3"/>
    <w:rsid w:val="00D91F0C"/>
    <w:rsid w:val="00DA0138"/>
    <w:rsid w:val="00E332B9"/>
    <w:rsid w:val="00E52DA5"/>
    <w:rsid w:val="00E53317"/>
    <w:rsid w:val="00E57B96"/>
    <w:rsid w:val="00EA459F"/>
    <w:rsid w:val="00EC64FA"/>
    <w:rsid w:val="00EF4709"/>
    <w:rsid w:val="00F979D3"/>
    <w:rsid w:val="00FA4B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ffffb,#bfffbb,#bfbfbb,white,#fffffb,#fffbbb,#fbb,#bfffff"/>
    </o:shapedefaults>
    <o:shapelayout v:ext="edit">
      <o:idmap v:ext="edit" data="2"/>
    </o:shapelayout>
  </w:shapeDefaults>
  <w:decimalSymbol w:val="."/>
  <w:listSeparator w:val=","/>
  <w14:docId w14:val="5E1A4581"/>
  <w15:chartTrackingRefBased/>
  <w15:docId w15:val="{668F53B4-2434-408E-905F-D0F07F576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A4"/>
    <w:rPr>
      <w:lang w:val="en-GB"/>
    </w:rPr>
  </w:style>
  <w:style w:type="paragraph" w:styleId="Heading1">
    <w:name w:val="heading 1"/>
    <w:basedOn w:val="Normal"/>
    <w:next w:val="Normal"/>
    <w:link w:val="Heading1Char"/>
    <w:autoRedefine/>
    <w:uiPriority w:val="9"/>
    <w:qFormat/>
    <w:rsid w:val="00A10FA0"/>
    <w:pPr>
      <w:keepNext/>
      <w:numPr>
        <w:numId w:val="13"/>
      </w:numPr>
      <w:spacing w:before="240" w:after="0" w:line="360" w:lineRule="auto"/>
      <w:jc w:val="both"/>
      <w:outlineLvl w:val="0"/>
    </w:pPr>
    <w:rPr>
      <w:rFonts w:ascii="Georgia" w:hAnsi="Georgia" w:cstheme="majorBidi"/>
      <w:b/>
      <w:bCs/>
      <w:color w:val="404040" w:themeColor="text1" w:themeTint="BF"/>
      <w:sz w:val="20"/>
      <w:szCs w:val="20"/>
      <w:lang w:val="en-US"/>
    </w:rPr>
  </w:style>
  <w:style w:type="paragraph" w:styleId="Heading2">
    <w:name w:val="heading 2"/>
    <w:basedOn w:val="Normal"/>
    <w:next w:val="Normal"/>
    <w:link w:val="Heading2Char"/>
    <w:uiPriority w:val="9"/>
    <w:semiHidden/>
    <w:unhideWhenUsed/>
    <w:qFormat/>
    <w:rsid w:val="00B90F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0F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0F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0F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0F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F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F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F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FA0"/>
    <w:rPr>
      <w:rFonts w:ascii="Georgia" w:hAnsi="Georgia" w:cstheme="majorBidi"/>
      <w:b/>
      <w:bCs/>
      <w:color w:val="404040" w:themeColor="text1" w:themeTint="BF"/>
      <w:sz w:val="20"/>
      <w:szCs w:val="20"/>
    </w:rPr>
  </w:style>
  <w:style w:type="character" w:customStyle="1" w:styleId="Heading2Char">
    <w:name w:val="Heading 2 Char"/>
    <w:basedOn w:val="DefaultParagraphFont"/>
    <w:link w:val="Heading2"/>
    <w:uiPriority w:val="9"/>
    <w:semiHidden/>
    <w:rsid w:val="00B90F5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B90F5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B90F5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B90F5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B90F5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B90F5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B90F5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B90F5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90F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F5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B90F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F5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B90F58"/>
    <w:pPr>
      <w:spacing w:before="160"/>
      <w:jc w:val="center"/>
    </w:pPr>
    <w:rPr>
      <w:i/>
      <w:iCs/>
      <w:color w:val="404040" w:themeColor="text1" w:themeTint="BF"/>
    </w:rPr>
  </w:style>
  <w:style w:type="character" w:customStyle="1" w:styleId="QuoteChar">
    <w:name w:val="Quote Char"/>
    <w:basedOn w:val="DefaultParagraphFont"/>
    <w:link w:val="Quote"/>
    <w:uiPriority w:val="29"/>
    <w:rsid w:val="00B90F58"/>
    <w:rPr>
      <w:i/>
      <w:iCs/>
      <w:color w:val="404040" w:themeColor="text1" w:themeTint="BF"/>
      <w:lang w:val="en-GB"/>
    </w:rPr>
  </w:style>
  <w:style w:type="paragraph" w:styleId="ListParagraph">
    <w:name w:val="List Paragraph"/>
    <w:basedOn w:val="Normal"/>
    <w:uiPriority w:val="34"/>
    <w:qFormat/>
    <w:rsid w:val="00B90F58"/>
    <w:pPr>
      <w:ind w:left="720"/>
      <w:contextualSpacing/>
    </w:pPr>
  </w:style>
  <w:style w:type="character" w:styleId="IntenseEmphasis">
    <w:name w:val="Intense Emphasis"/>
    <w:basedOn w:val="DefaultParagraphFont"/>
    <w:uiPriority w:val="21"/>
    <w:qFormat/>
    <w:rsid w:val="00B90F58"/>
    <w:rPr>
      <w:i/>
      <w:iCs/>
      <w:color w:val="0F4761" w:themeColor="accent1" w:themeShade="BF"/>
    </w:rPr>
  </w:style>
  <w:style w:type="paragraph" w:styleId="IntenseQuote">
    <w:name w:val="Intense Quote"/>
    <w:basedOn w:val="Normal"/>
    <w:next w:val="Normal"/>
    <w:link w:val="IntenseQuoteChar"/>
    <w:uiPriority w:val="30"/>
    <w:qFormat/>
    <w:rsid w:val="00A10FA0"/>
    <w:pPr>
      <w:pBdr>
        <w:top w:val="single" w:sz="4" w:space="10" w:color="0F4761" w:themeColor="accent1" w:themeShade="BF"/>
        <w:bottom w:val="single" w:sz="4" w:space="10" w:color="0F4761" w:themeColor="accent1" w:themeShade="BF"/>
      </w:pBdr>
      <w:spacing w:after="0" w:line="240" w:lineRule="auto"/>
      <w:ind w:left="360" w:hanging="360"/>
      <w:contextualSpacing/>
      <w:jc w:val="both"/>
    </w:pPr>
    <w:rPr>
      <w:rFonts w:ascii="Georgia" w:hAnsi="Georgia" w:cs="Times New Roman"/>
      <w:iCs/>
      <w:color w:val="404040" w:themeColor="text1" w:themeTint="BF"/>
      <w:sz w:val="16"/>
      <w:szCs w:val="20"/>
    </w:rPr>
  </w:style>
  <w:style w:type="character" w:customStyle="1" w:styleId="IntenseQuoteChar">
    <w:name w:val="Intense Quote Char"/>
    <w:basedOn w:val="DefaultParagraphFont"/>
    <w:link w:val="IntenseQuote"/>
    <w:uiPriority w:val="30"/>
    <w:rsid w:val="00A10FA0"/>
    <w:rPr>
      <w:rFonts w:ascii="Georgia" w:hAnsi="Georgia" w:cs="Times New Roman"/>
      <w:iCs/>
      <w:color w:val="404040" w:themeColor="text1" w:themeTint="BF"/>
      <w:sz w:val="16"/>
      <w:szCs w:val="20"/>
      <w:lang w:val="en-GB"/>
    </w:rPr>
  </w:style>
  <w:style w:type="character" w:styleId="IntenseReference">
    <w:name w:val="Intense Reference"/>
    <w:basedOn w:val="DefaultParagraphFont"/>
    <w:uiPriority w:val="32"/>
    <w:qFormat/>
    <w:rsid w:val="00B90F58"/>
    <w:rPr>
      <w:b/>
      <w:bCs/>
      <w:smallCaps/>
      <w:color w:val="0F4761" w:themeColor="accent1" w:themeShade="BF"/>
      <w:spacing w:val="5"/>
    </w:rPr>
  </w:style>
  <w:style w:type="paragraph" w:styleId="Header">
    <w:name w:val="header"/>
    <w:basedOn w:val="Normal"/>
    <w:link w:val="HeaderChar"/>
    <w:uiPriority w:val="99"/>
    <w:unhideWhenUsed/>
    <w:rsid w:val="00573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BDF"/>
    <w:rPr>
      <w:lang w:val="en-GB"/>
    </w:rPr>
  </w:style>
  <w:style w:type="paragraph" w:styleId="Footer">
    <w:name w:val="footer"/>
    <w:basedOn w:val="Normal"/>
    <w:link w:val="FooterChar"/>
    <w:uiPriority w:val="99"/>
    <w:unhideWhenUsed/>
    <w:rsid w:val="00573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BDF"/>
    <w:rPr>
      <w:lang w:val="en-GB"/>
    </w:rPr>
  </w:style>
  <w:style w:type="table" w:styleId="GridTable1Light">
    <w:name w:val="Grid Table 1 Light"/>
    <w:aliases w:val="JHRR"/>
    <w:basedOn w:val="TableNormal"/>
    <w:uiPriority w:val="46"/>
    <w:rsid w:val="003E5988"/>
    <w:pPr>
      <w:spacing w:after="0" w:line="240" w:lineRule="auto"/>
      <w:jc w:val="center"/>
    </w:pPr>
    <w:rPr>
      <w:rFonts w:asciiTheme="majorBidi" w:hAnsiTheme="majorBidi"/>
      <w:sz w:val="20"/>
    </w:rPr>
    <w:tblPr>
      <w:tblStyleColBandSize w:val="1"/>
      <w:tblBorders>
        <w:bottom w:val="single" w:sz="2" w:space="0" w:color="auto"/>
      </w:tblBorders>
    </w:tblPr>
    <w:tcPr>
      <w:vAlign w:val="center"/>
    </w:tcPr>
    <w:tblStylePr w:type="firstRow">
      <w:rPr>
        <w:rFonts w:asciiTheme="majorBidi" w:hAnsiTheme="majorBidi"/>
        <w:b/>
        <w:bCs/>
        <w:color w:val="000000" w:themeColor="text1"/>
        <w:sz w:val="20"/>
      </w:rPr>
      <w:tblPr/>
      <w:tcPr>
        <w:tcBorders>
          <w:top w:val="single" w:sz="4" w:space="0" w:color="000000" w:themeColor="text1"/>
          <w:bottom w:val="single" w:sz="4" w:space="0" w:color="000000" w:themeColor="text1"/>
        </w:tcBorders>
      </w:tcPr>
    </w:tblStylePr>
    <w:tblStylePr w:type="lastRow">
      <w:rPr>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character" w:styleId="Hyperlink">
    <w:name w:val="Hyperlink"/>
    <w:basedOn w:val="DefaultParagraphFont"/>
    <w:uiPriority w:val="99"/>
    <w:unhideWhenUsed/>
    <w:rsid w:val="00C51620"/>
    <w:rPr>
      <w:color w:val="467886" w:themeColor="hyperlink"/>
      <w:u w:val="single"/>
    </w:rPr>
  </w:style>
  <w:style w:type="character" w:styleId="UnresolvedMention">
    <w:name w:val="Unresolved Mention"/>
    <w:basedOn w:val="DefaultParagraphFont"/>
    <w:uiPriority w:val="99"/>
    <w:semiHidden/>
    <w:unhideWhenUsed/>
    <w:rsid w:val="00C51620"/>
    <w:rPr>
      <w:color w:val="605E5C"/>
      <w:shd w:val="clear" w:color="auto" w:fill="E1DFDD"/>
    </w:rPr>
  </w:style>
  <w:style w:type="table" w:styleId="TableGrid">
    <w:name w:val="Table Grid"/>
    <w:basedOn w:val="TableNormal"/>
    <w:uiPriority w:val="39"/>
    <w:rsid w:val="00655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51DF"/>
    <w:pPr>
      <w:spacing w:after="0" w:line="240" w:lineRule="auto"/>
    </w:pPr>
    <w:rPr>
      <w:lang w:val="en-GB"/>
    </w:rPr>
  </w:style>
  <w:style w:type="table" w:styleId="TableGridLight">
    <w:name w:val="Grid Table Light"/>
    <w:basedOn w:val="TableNormal"/>
    <w:uiPriority w:val="40"/>
    <w:rsid w:val="00DA01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EF47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A10FA0"/>
    <w:pPr>
      <w:spacing w:after="200" w:line="240" w:lineRule="auto"/>
    </w:pPr>
    <w:rPr>
      <w:rFonts w:ascii="Georgia" w:hAnsi="Georgia"/>
      <w:iCs/>
      <w:color w:val="404040" w:themeColor="text1" w:themeTint="BF"/>
      <w:sz w:val="16"/>
      <w:szCs w:val="18"/>
    </w:rPr>
  </w:style>
  <w:style w:type="paragraph" w:customStyle="1" w:styleId="Doi">
    <w:name w:val="Doi"/>
    <w:basedOn w:val="Normal"/>
    <w:qFormat/>
    <w:rsid w:val="00077F73"/>
    <w:pPr>
      <w:spacing w:line="360" w:lineRule="auto"/>
      <w:jc w:val="right"/>
    </w:pPr>
    <w:rPr>
      <w:rFonts w:ascii="Georgia" w:hAnsi="Georgia"/>
      <w:i/>
      <w:color w:val="000000" w:themeColor="text1"/>
      <w:sz w:val="16"/>
      <w:szCs w:val="16"/>
    </w:rPr>
  </w:style>
  <w:style w:type="paragraph" w:customStyle="1" w:styleId="ArticleType">
    <w:name w:val="Article Type"/>
    <w:basedOn w:val="Normal"/>
    <w:link w:val="ArticleTypeChar"/>
    <w:qFormat/>
    <w:rsid w:val="000800E8"/>
    <w:pPr>
      <w:spacing w:line="360" w:lineRule="auto"/>
    </w:pPr>
    <w:rPr>
      <w:rFonts w:ascii="Georgia" w:hAnsi="Georgia" w:cstheme="majorBidi"/>
      <w:b/>
      <w:i/>
      <w:iCs/>
      <w:color w:val="404040" w:themeColor="text1" w:themeTint="BF"/>
      <w:sz w:val="20"/>
      <w:szCs w:val="24"/>
    </w:rPr>
  </w:style>
  <w:style w:type="character" w:customStyle="1" w:styleId="ArticleTypeChar">
    <w:name w:val="Article Type Char"/>
    <w:basedOn w:val="DefaultParagraphFont"/>
    <w:link w:val="ArticleType"/>
    <w:rsid w:val="000800E8"/>
    <w:rPr>
      <w:rFonts w:ascii="Georgia" w:hAnsi="Georgia" w:cstheme="majorBidi"/>
      <w:b/>
      <w:i/>
      <w:iCs/>
      <w:color w:val="404040" w:themeColor="text1" w:themeTint="BF"/>
      <w:sz w:val="20"/>
      <w:szCs w:val="24"/>
      <w:lang w:val="en-GB"/>
    </w:rPr>
  </w:style>
  <w:style w:type="paragraph" w:customStyle="1" w:styleId="Topic">
    <w:name w:val="Topic"/>
    <w:basedOn w:val="Normal"/>
    <w:link w:val="TopicChar"/>
    <w:qFormat/>
    <w:rsid w:val="000800E8"/>
    <w:pPr>
      <w:spacing w:line="360" w:lineRule="auto"/>
      <w:jc w:val="center"/>
    </w:pPr>
    <w:rPr>
      <w:rFonts w:ascii="Georgia" w:hAnsi="Georgia" w:cstheme="majorBidi"/>
      <w:b/>
      <w:bCs/>
      <w:sz w:val="28"/>
      <w:szCs w:val="36"/>
    </w:rPr>
  </w:style>
  <w:style w:type="character" w:customStyle="1" w:styleId="TopicChar">
    <w:name w:val="Topic Char"/>
    <w:basedOn w:val="DefaultParagraphFont"/>
    <w:link w:val="Topic"/>
    <w:rsid w:val="000800E8"/>
    <w:rPr>
      <w:rFonts w:ascii="Georgia" w:hAnsi="Georgia" w:cstheme="majorBidi"/>
      <w:b/>
      <w:bCs/>
      <w:sz w:val="28"/>
      <w:szCs w:val="36"/>
      <w:lang w:val="en-GB"/>
    </w:rPr>
  </w:style>
  <w:style w:type="paragraph" w:customStyle="1" w:styleId="Authors">
    <w:name w:val="Authors"/>
    <w:basedOn w:val="Normal"/>
    <w:link w:val="AuthorsChar"/>
    <w:qFormat/>
    <w:rsid w:val="00A10FA0"/>
    <w:pPr>
      <w:spacing w:line="360" w:lineRule="auto"/>
      <w:jc w:val="center"/>
    </w:pPr>
    <w:rPr>
      <w:rFonts w:ascii="Georgia" w:hAnsi="Georgia" w:cstheme="majorBidi"/>
      <w:color w:val="404040" w:themeColor="text1" w:themeTint="BF"/>
      <w:sz w:val="16"/>
      <w:szCs w:val="20"/>
    </w:rPr>
  </w:style>
  <w:style w:type="character" w:customStyle="1" w:styleId="AuthorsChar">
    <w:name w:val="Authors Char"/>
    <w:basedOn w:val="DefaultParagraphFont"/>
    <w:link w:val="Authors"/>
    <w:rsid w:val="00A10FA0"/>
    <w:rPr>
      <w:rFonts w:ascii="Georgia" w:hAnsi="Georgia" w:cstheme="majorBidi"/>
      <w:color w:val="404040" w:themeColor="text1" w:themeTint="BF"/>
      <w:sz w:val="16"/>
      <w:szCs w:val="20"/>
      <w:lang w:val="en-GB"/>
    </w:rPr>
  </w:style>
  <w:style w:type="paragraph" w:customStyle="1" w:styleId="Affilitations">
    <w:name w:val="Affilitations"/>
    <w:link w:val="AffilitationsChar"/>
    <w:qFormat/>
    <w:rsid w:val="00A10FA0"/>
    <w:pPr>
      <w:widowControl w:val="0"/>
      <w:numPr>
        <w:numId w:val="12"/>
      </w:numPr>
      <w:suppressLineNumbers/>
      <w:suppressAutoHyphens/>
      <w:spacing w:after="100" w:line="240" w:lineRule="auto"/>
      <w:ind w:left="113" w:hanging="113"/>
      <w:jc w:val="center"/>
    </w:pPr>
    <w:rPr>
      <w:rFonts w:ascii="Georgia" w:hAnsi="Georgia" w:cstheme="majorBidi"/>
      <w:color w:val="404040" w:themeColor="text1" w:themeTint="BF"/>
      <w:position w:val="-6"/>
      <w:sz w:val="16"/>
      <w:szCs w:val="20"/>
      <w:lang w:val="en-GB"/>
    </w:rPr>
  </w:style>
  <w:style w:type="character" w:customStyle="1" w:styleId="AffilitationsChar">
    <w:name w:val="Affilitations Char"/>
    <w:basedOn w:val="DefaultParagraphFont"/>
    <w:link w:val="Affilitations"/>
    <w:rsid w:val="00A10FA0"/>
    <w:rPr>
      <w:rFonts w:ascii="Georgia" w:hAnsi="Georgia" w:cstheme="majorBidi"/>
      <w:color w:val="404040" w:themeColor="text1" w:themeTint="BF"/>
      <w:position w:val="-6"/>
      <w:sz w:val="16"/>
      <w:szCs w:val="20"/>
      <w:lang w:val="en-GB"/>
    </w:rPr>
  </w:style>
  <w:style w:type="paragraph" w:customStyle="1" w:styleId="Corresponding">
    <w:name w:val="Corresponding"/>
    <w:basedOn w:val="Affilitations"/>
    <w:link w:val="CorrespondingChar"/>
    <w:qFormat/>
    <w:rsid w:val="00A10FA0"/>
    <w:pPr>
      <w:numPr>
        <w:numId w:val="0"/>
      </w:numPr>
      <w:jc w:val="left"/>
    </w:pPr>
  </w:style>
  <w:style w:type="character" w:customStyle="1" w:styleId="CorrespondingChar">
    <w:name w:val="Corresponding Char"/>
    <w:basedOn w:val="AffilitationsChar"/>
    <w:link w:val="Corresponding"/>
    <w:rsid w:val="00A10FA0"/>
    <w:rPr>
      <w:rFonts w:ascii="Georgia" w:hAnsi="Georgia" w:cstheme="majorBidi"/>
      <w:color w:val="404040" w:themeColor="text1" w:themeTint="BF"/>
      <w:position w:val="-6"/>
      <w:sz w:val="16"/>
      <w:szCs w:val="20"/>
      <w:lang w:val="en-GB"/>
    </w:rPr>
  </w:style>
  <w:style w:type="paragraph" w:customStyle="1" w:styleId="Body">
    <w:name w:val="Body"/>
    <w:link w:val="BodyChar"/>
    <w:qFormat/>
    <w:rsid w:val="00A10FA0"/>
    <w:pPr>
      <w:spacing w:line="360" w:lineRule="auto"/>
      <w:jc w:val="both"/>
    </w:pPr>
    <w:rPr>
      <w:rFonts w:ascii="Georgia" w:hAnsi="Georgia" w:cs="Times New Roman"/>
      <w:color w:val="404040" w:themeColor="text1" w:themeTint="BF"/>
      <w:sz w:val="16"/>
      <w:szCs w:val="20"/>
    </w:rPr>
  </w:style>
  <w:style w:type="character" w:customStyle="1" w:styleId="BodyChar">
    <w:name w:val="Body Char"/>
    <w:basedOn w:val="Heading1Char"/>
    <w:link w:val="Body"/>
    <w:rsid w:val="00A10FA0"/>
    <w:rPr>
      <w:rFonts w:ascii="Georgia" w:hAnsi="Georgia" w:cs="Times New Roman"/>
      <w:b w:val="0"/>
      <w:bCs w:val="0"/>
      <w:color w:val="404040" w:themeColor="text1" w:themeTint="BF"/>
      <w:sz w:val="16"/>
      <w:szCs w:val="20"/>
    </w:rPr>
  </w:style>
  <w:style w:type="paragraph" w:customStyle="1" w:styleId="References">
    <w:name w:val="References"/>
    <w:link w:val="ReferencesChar"/>
    <w:qFormat/>
    <w:rsid w:val="00A10FA0"/>
    <w:pPr>
      <w:numPr>
        <w:numId w:val="14"/>
      </w:numPr>
      <w:spacing w:line="360" w:lineRule="auto"/>
      <w:jc w:val="lowKashida"/>
    </w:pPr>
    <w:rPr>
      <w:rFonts w:ascii="Georgia" w:hAnsi="Georgia"/>
      <w:color w:val="404040" w:themeColor="text1" w:themeTint="BF"/>
      <w:sz w:val="16"/>
      <w:lang w:val="en-GB"/>
    </w:rPr>
  </w:style>
  <w:style w:type="character" w:customStyle="1" w:styleId="ReferencesChar">
    <w:name w:val="References Char"/>
    <w:basedOn w:val="DefaultParagraphFont"/>
    <w:link w:val="References"/>
    <w:rsid w:val="00A10FA0"/>
    <w:rPr>
      <w:rFonts w:ascii="Georgia" w:hAnsi="Georgia"/>
      <w:color w:val="404040" w:themeColor="text1" w:themeTint="BF"/>
      <w:sz w:val="16"/>
      <w:lang w:val="en-GB"/>
    </w:rPr>
  </w:style>
  <w:style w:type="paragraph" w:styleId="NormalWeb">
    <w:name w:val="Normal (Web)"/>
    <w:basedOn w:val="Normal"/>
    <w:uiPriority w:val="99"/>
    <w:semiHidden/>
    <w:unhideWhenUsed/>
    <w:rsid w:val="00813E98"/>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4F35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553203">
      <w:bodyDiv w:val="1"/>
      <w:marLeft w:val="0"/>
      <w:marRight w:val="0"/>
      <w:marTop w:val="0"/>
      <w:marBottom w:val="0"/>
      <w:divBdr>
        <w:top w:val="none" w:sz="0" w:space="0" w:color="auto"/>
        <w:left w:val="none" w:sz="0" w:space="0" w:color="auto"/>
        <w:bottom w:val="none" w:sz="0" w:space="0" w:color="auto"/>
        <w:right w:val="none" w:sz="0" w:space="0" w:color="auto"/>
      </w:divBdr>
    </w:div>
    <w:div w:id="638874913">
      <w:bodyDiv w:val="1"/>
      <w:marLeft w:val="0"/>
      <w:marRight w:val="0"/>
      <w:marTop w:val="0"/>
      <w:marBottom w:val="0"/>
      <w:divBdr>
        <w:top w:val="none" w:sz="0" w:space="0" w:color="auto"/>
        <w:left w:val="none" w:sz="0" w:space="0" w:color="auto"/>
        <w:bottom w:val="none" w:sz="0" w:space="0" w:color="auto"/>
        <w:right w:val="none" w:sz="0" w:space="0" w:color="auto"/>
      </w:divBdr>
    </w:div>
    <w:div w:id="753671007">
      <w:bodyDiv w:val="1"/>
      <w:marLeft w:val="0"/>
      <w:marRight w:val="0"/>
      <w:marTop w:val="0"/>
      <w:marBottom w:val="0"/>
      <w:divBdr>
        <w:top w:val="none" w:sz="0" w:space="0" w:color="auto"/>
        <w:left w:val="none" w:sz="0" w:space="0" w:color="auto"/>
        <w:bottom w:val="none" w:sz="0" w:space="0" w:color="auto"/>
        <w:right w:val="none" w:sz="0" w:space="0" w:color="auto"/>
      </w:divBdr>
    </w:div>
    <w:div w:id="968246037">
      <w:bodyDiv w:val="1"/>
      <w:marLeft w:val="0"/>
      <w:marRight w:val="0"/>
      <w:marTop w:val="0"/>
      <w:marBottom w:val="0"/>
      <w:divBdr>
        <w:top w:val="none" w:sz="0" w:space="0" w:color="auto"/>
        <w:left w:val="none" w:sz="0" w:space="0" w:color="auto"/>
        <w:bottom w:val="none" w:sz="0" w:space="0" w:color="auto"/>
        <w:right w:val="none" w:sz="0" w:space="0" w:color="auto"/>
      </w:divBdr>
    </w:div>
    <w:div w:id="1090930470">
      <w:bodyDiv w:val="1"/>
      <w:marLeft w:val="0"/>
      <w:marRight w:val="0"/>
      <w:marTop w:val="0"/>
      <w:marBottom w:val="0"/>
      <w:divBdr>
        <w:top w:val="none" w:sz="0" w:space="0" w:color="auto"/>
        <w:left w:val="none" w:sz="0" w:space="0" w:color="auto"/>
        <w:bottom w:val="none" w:sz="0" w:space="0" w:color="auto"/>
        <w:right w:val="none" w:sz="0" w:space="0" w:color="auto"/>
      </w:divBdr>
    </w:div>
    <w:div w:id="1319387389">
      <w:bodyDiv w:val="1"/>
      <w:marLeft w:val="0"/>
      <w:marRight w:val="0"/>
      <w:marTop w:val="0"/>
      <w:marBottom w:val="0"/>
      <w:divBdr>
        <w:top w:val="none" w:sz="0" w:space="0" w:color="auto"/>
        <w:left w:val="none" w:sz="0" w:space="0" w:color="auto"/>
        <w:bottom w:val="none" w:sz="0" w:space="0" w:color="auto"/>
        <w:right w:val="none" w:sz="0" w:space="0" w:color="auto"/>
      </w:divBdr>
      <w:divsChild>
        <w:div w:id="319039393">
          <w:marLeft w:val="0"/>
          <w:marRight w:val="0"/>
          <w:marTop w:val="0"/>
          <w:marBottom w:val="0"/>
          <w:divBdr>
            <w:top w:val="none" w:sz="0" w:space="0" w:color="auto"/>
            <w:left w:val="none" w:sz="0" w:space="0" w:color="auto"/>
            <w:bottom w:val="none" w:sz="0" w:space="0" w:color="auto"/>
            <w:right w:val="none" w:sz="0" w:space="0" w:color="auto"/>
          </w:divBdr>
          <w:divsChild>
            <w:div w:id="1055156442">
              <w:marLeft w:val="0"/>
              <w:marRight w:val="0"/>
              <w:marTop w:val="0"/>
              <w:marBottom w:val="0"/>
              <w:divBdr>
                <w:top w:val="none" w:sz="0" w:space="0" w:color="auto"/>
                <w:left w:val="none" w:sz="0" w:space="0" w:color="auto"/>
                <w:bottom w:val="none" w:sz="0" w:space="0" w:color="auto"/>
                <w:right w:val="none" w:sz="0" w:space="0" w:color="auto"/>
              </w:divBdr>
              <w:divsChild>
                <w:div w:id="2049453691">
                  <w:marLeft w:val="0"/>
                  <w:marRight w:val="0"/>
                  <w:marTop w:val="0"/>
                  <w:marBottom w:val="0"/>
                  <w:divBdr>
                    <w:top w:val="none" w:sz="0" w:space="0" w:color="auto"/>
                    <w:left w:val="none" w:sz="0" w:space="0" w:color="auto"/>
                    <w:bottom w:val="none" w:sz="0" w:space="0" w:color="auto"/>
                    <w:right w:val="none" w:sz="0" w:space="0" w:color="auto"/>
                  </w:divBdr>
                  <w:divsChild>
                    <w:div w:id="151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88743">
      <w:bodyDiv w:val="1"/>
      <w:marLeft w:val="0"/>
      <w:marRight w:val="0"/>
      <w:marTop w:val="0"/>
      <w:marBottom w:val="0"/>
      <w:divBdr>
        <w:top w:val="none" w:sz="0" w:space="0" w:color="auto"/>
        <w:left w:val="none" w:sz="0" w:space="0" w:color="auto"/>
        <w:bottom w:val="none" w:sz="0" w:space="0" w:color="auto"/>
        <w:right w:val="none" w:sz="0" w:space="0" w:color="auto"/>
      </w:divBdr>
    </w:div>
    <w:div w:id="1417364753">
      <w:bodyDiv w:val="1"/>
      <w:marLeft w:val="0"/>
      <w:marRight w:val="0"/>
      <w:marTop w:val="0"/>
      <w:marBottom w:val="0"/>
      <w:divBdr>
        <w:top w:val="none" w:sz="0" w:space="0" w:color="auto"/>
        <w:left w:val="none" w:sz="0" w:space="0" w:color="auto"/>
        <w:bottom w:val="none" w:sz="0" w:space="0" w:color="auto"/>
        <w:right w:val="none" w:sz="0" w:space="0" w:color="auto"/>
      </w:divBdr>
    </w:div>
    <w:div w:id="1468475908">
      <w:bodyDiv w:val="1"/>
      <w:marLeft w:val="0"/>
      <w:marRight w:val="0"/>
      <w:marTop w:val="0"/>
      <w:marBottom w:val="0"/>
      <w:divBdr>
        <w:top w:val="none" w:sz="0" w:space="0" w:color="auto"/>
        <w:left w:val="none" w:sz="0" w:space="0" w:color="auto"/>
        <w:bottom w:val="none" w:sz="0" w:space="0" w:color="auto"/>
        <w:right w:val="none" w:sz="0" w:space="0" w:color="auto"/>
      </w:divBdr>
      <w:divsChild>
        <w:div w:id="12460604">
          <w:marLeft w:val="0"/>
          <w:marRight w:val="0"/>
          <w:marTop w:val="0"/>
          <w:marBottom w:val="0"/>
          <w:divBdr>
            <w:top w:val="none" w:sz="0" w:space="0" w:color="auto"/>
            <w:left w:val="none" w:sz="0" w:space="0" w:color="auto"/>
            <w:bottom w:val="none" w:sz="0" w:space="0" w:color="auto"/>
            <w:right w:val="none" w:sz="0" w:space="0" w:color="auto"/>
          </w:divBdr>
          <w:divsChild>
            <w:div w:id="433281524">
              <w:marLeft w:val="0"/>
              <w:marRight w:val="0"/>
              <w:marTop w:val="0"/>
              <w:marBottom w:val="0"/>
              <w:divBdr>
                <w:top w:val="none" w:sz="0" w:space="0" w:color="auto"/>
                <w:left w:val="none" w:sz="0" w:space="0" w:color="auto"/>
                <w:bottom w:val="none" w:sz="0" w:space="0" w:color="auto"/>
                <w:right w:val="none" w:sz="0" w:space="0" w:color="auto"/>
              </w:divBdr>
              <w:divsChild>
                <w:div w:id="1225219893">
                  <w:marLeft w:val="0"/>
                  <w:marRight w:val="0"/>
                  <w:marTop w:val="0"/>
                  <w:marBottom w:val="0"/>
                  <w:divBdr>
                    <w:top w:val="none" w:sz="0" w:space="0" w:color="auto"/>
                    <w:left w:val="none" w:sz="0" w:space="0" w:color="auto"/>
                    <w:bottom w:val="none" w:sz="0" w:space="0" w:color="auto"/>
                    <w:right w:val="none" w:sz="0" w:space="0" w:color="auto"/>
                  </w:divBdr>
                  <w:divsChild>
                    <w:div w:id="139304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195362">
      <w:bodyDiv w:val="1"/>
      <w:marLeft w:val="0"/>
      <w:marRight w:val="0"/>
      <w:marTop w:val="0"/>
      <w:marBottom w:val="0"/>
      <w:divBdr>
        <w:top w:val="none" w:sz="0" w:space="0" w:color="auto"/>
        <w:left w:val="none" w:sz="0" w:space="0" w:color="auto"/>
        <w:bottom w:val="none" w:sz="0" w:space="0" w:color="auto"/>
        <w:right w:val="none" w:sz="0" w:space="0" w:color="auto"/>
      </w:divBdr>
    </w:div>
    <w:div w:id="1730423617">
      <w:bodyDiv w:val="1"/>
      <w:marLeft w:val="0"/>
      <w:marRight w:val="0"/>
      <w:marTop w:val="0"/>
      <w:marBottom w:val="0"/>
      <w:divBdr>
        <w:top w:val="none" w:sz="0" w:space="0" w:color="auto"/>
        <w:left w:val="none" w:sz="0" w:space="0" w:color="auto"/>
        <w:bottom w:val="none" w:sz="0" w:space="0" w:color="auto"/>
        <w:right w:val="none" w:sz="0" w:space="0" w:color="auto"/>
      </w:divBdr>
    </w:div>
    <w:div w:id="2091342150">
      <w:bodyDiv w:val="1"/>
      <w:marLeft w:val="0"/>
      <w:marRight w:val="0"/>
      <w:marTop w:val="0"/>
      <w:marBottom w:val="0"/>
      <w:divBdr>
        <w:top w:val="none" w:sz="0" w:space="0" w:color="auto"/>
        <w:left w:val="none" w:sz="0" w:space="0" w:color="auto"/>
        <w:bottom w:val="none" w:sz="0" w:space="0" w:color="auto"/>
        <w:right w:val="none" w:sz="0" w:space="0" w:color="auto"/>
      </w:divBdr>
    </w:div>
    <w:div w:id="2121024830">
      <w:bodyDiv w:val="1"/>
      <w:marLeft w:val="0"/>
      <w:marRight w:val="0"/>
      <w:marTop w:val="0"/>
      <w:marBottom w:val="0"/>
      <w:divBdr>
        <w:top w:val="none" w:sz="0" w:space="0" w:color="auto"/>
        <w:left w:val="none" w:sz="0" w:space="0" w:color="auto"/>
        <w:bottom w:val="none" w:sz="0" w:space="0" w:color="auto"/>
        <w:right w:val="none" w:sz="0" w:space="0" w:color="auto"/>
      </w:divBdr>
    </w:div>
    <w:div w:id="2132356869">
      <w:bodyDiv w:val="1"/>
      <w:marLeft w:val="0"/>
      <w:marRight w:val="0"/>
      <w:marTop w:val="0"/>
      <w:marBottom w:val="0"/>
      <w:divBdr>
        <w:top w:val="none" w:sz="0" w:space="0" w:color="auto"/>
        <w:left w:val="none" w:sz="0" w:space="0" w:color="auto"/>
        <w:bottom w:val="none" w:sz="0" w:space="0" w:color="auto"/>
        <w:right w:val="none" w:sz="0" w:space="0" w:color="auto"/>
      </w:divBdr>
      <w:divsChild>
        <w:div w:id="224681984">
          <w:marLeft w:val="0"/>
          <w:marRight w:val="0"/>
          <w:marTop w:val="0"/>
          <w:marBottom w:val="0"/>
          <w:divBdr>
            <w:top w:val="none" w:sz="0" w:space="0" w:color="auto"/>
            <w:left w:val="none" w:sz="0" w:space="0" w:color="auto"/>
            <w:bottom w:val="none" w:sz="0" w:space="0" w:color="auto"/>
            <w:right w:val="none" w:sz="0" w:space="0" w:color="auto"/>
          </w:divBdr>
          <w:divsChild>
            <w:div w:id="1498422574">
              <w:marLeft w:val="0"/>
              <w:marRight w:val="0"/>
              <w:marTop w:val="0"/>
              <w:marBottom w:val="0"/>
              <w:divBdr>
                <w:top w:val="none" w:sz="0" w:space="0" w:color="auto"/>
                <w:left w:val="none" w:sz="0" w:space="0" w:color="auto"/>
                <w:bottom w:val="none" w:sz="0" w:space="0" w:color="auto"/>
                <w:right w:val="none" w:sz="0" w:space="0" w:color="auto"/>
              </w:divBdr>
              <w:divsChild>
                <w:div w:id="1164127331">
                  <w:marLeft w:val="0"/>
                  <w:marRight w:val="0"/>
                  <w:marTop w:val="0"/>
                  <w:marBottom w:val="0"/>
                  <w:divBdr>
                    <w:top w:val="none" w:sz="0" w:space="0" w:color="auto"/>
                    <w:left w:val="none" w:sz="0" w:space="0" w:color="auto"/>
                    <w:bottom w:val="none" w:sz="0" w:space="0" w:color="auto"/>
                    <w:right w:val="none" w:sz="0" w:space="0" w:color="auto"/>
                  </w:divBdr>
                  <w:divsChild>
                    <w:div w:id="251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2" Type="http://schemas.openxmlformats.org/officeDocument/2006/relationships/mailMergeSource" Target="file:///C:\Users\suhai\OneDrive\Documents\Test.xlsx" TargetMode="External"/><Relationship Id="rId1" Type="http://schemas.openxmlformats.org/officeDocument/2006/relationships/attachedTemplate" Target="file:///F:\JHRR\NEW%20FORMAT%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38D8A16199514C89C7FF8684E48882" ma:contentTypeVersion="11" ma:contentTypeDescription="Create a new document." ma:contentTypeScope="" ma:versionID="06c9af6484b709e51c04695b142005a8">
  <xsd:schema xmlns:xsd="http://www.w3.org/2001/XMLSchema" xmlns:xs="http://www.w3.org/2001/XMLSchema" xmlns:p="http://schemas.microsoft.com/office/2006/metadata/properties" xmlns:ns3="1dac599e-2115-4c5c-9468-b2b734a451dc" targetNamespace="http://schemas.microsoft.com/office/2006/metadata/properties" ma:root="true" ma:fieldsID="2ee7dd1864ca5a5c4feb86239465fd5a" ns3:_="">
    <xsd:import namespace="1dac599e-2115-4c5c-9468-b2b734a451d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_activity" minOccurs="0"/>
                <xsd:element ref="ns3:MediaServiceSystemTag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ac599e-2115-4c5c-9468-b2b734a45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dac599e-2115-4c5c-9468-b2b734a451dc" xsi:nil="true"/>
  </documentManagement>
</p:properties>
</file>

<file path=customXml/itemProps1.xml><?xml version="1.0" encoding="utf-8"?>
<ds:datastoreItem xmlns:ds="http://schemas.openxmlformats.org/officeDocument/2006/customXml" ds:itemID="{B004E522-ECBF-4DB2-9D53-8E9A4D64B095}">
  <ds:schemaRefs>
    <ds:schemaRef ds:uri="http://schemas.openxmlformats.org/officeDocument/2006/bibliography"/>
  </ds:schemaRefs>
</ds:datastoreItem>
</file>

<file path=customXml/itemProps2.xml><?xml version="1.0" encoding="utf-8"?>
<ds:datastoreItem xmlns:ds="http://schemas.openxmlformats.org/officeDocument/2006/customXml" ds:itemID="{807EDB36-4919-4213-96CC-BFD44B296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ac599e-2115-4c5c-9468-b2b734a45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6F51B-6C51-4E07-85DE-B1954B6AC411}">
  <ds:schemaRefs>
    <ds:schemaRef ds:uri="http://schemas.microsoft.com/sharepoint/v3/contenttype/forms"/>
  </ds:schemaRefs>
</ds:datastoreItem>
</file>

<file path=customXml/itemProps4.xml><?xml version="1.0" encoding="utf-8"?>
<ds:datastoreItem xmlns:ds="http://schemas.openxmlformats.org/officeDocument/2006/customXml" ds:itemID="{C819FB98-2850-4A96-8713-364A44E96506}">
  <ds:schemaRefs>
    <ds:schemaRef ds:uri="http://schemas.microsoft.com/office/2006/metadata/properties"/>
    <ds:schemaRef ds:uri="http://schemas.microsoft.com/office/infopath/2007/PartnerControls"/>
    <ds:schemaRef ds:uri="1dac599e-2115-4c5c-9468-b2b734a451dc"/>
  </ds:schemaRefs>
</ds:datastoreItem>
</file>

<file path=docProps/app.xml><?xml version="1.0" encoding="utf-8"?>
<Properties xmlns="http://schemas.openxmlformats.org/officeDocument/2006/extended-properties" xmlns:vt="http://schemas.openxmlformats.org/officeDocument/2006/docPropsVTypes">
  <Template>NEW FORMAT JHRR</Template>
  <TotalTime>39</TotalTime>
  <Pages>6</Pages>
  <Words>3098</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Adil Munir, (PT)</dc:creator>
  <cp:keywords/>
  <dc:description/>
  <cp:lastModifiedBy>Adil Munir</cp:lastModifiedBy>
  <cp:revision>4</cp:revision>
  <cp:lastPrinted>2024-08-02T01:21:00Z</cp:lastPrinted>
  <dcterms:created xsi:type="dcterms:W3CDTF">2024-08-14T14:07:00Z</dcterms:created>
  <dcterms:modified xsi:type="dcterms:W3CDTF">2024-08-14T15:06:00Z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2024-07-26T03:24:19Z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61ef8c57-80b3-4896-b7a6-5a2b11244bb2</vt:lpwstr>
  </property>
  <property fmtid="{D5CDD505-2E9C-101B-9397-08002B2CF9AE}" pid="8" name="MSIP_Label_defa4170-0d19-0005-0004-bc88714345d2_ContentBits">
    <vt:lpwstr>0</vt:lpwstr>
  </property>
  <property fmtid="{D5CDD505-2E9C-101B-9397-08002B2CF9AE}" pid="9" name="ContentTypeId">
    <vt:lpwstr>0x010100A238D8A16199514C89C7FF8684E48882</vt:lpwstr>
  </property>
</Properties>
</file>