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E61B63" w:rsidRPr="00E61B63" w:rsidRDefault="00E61B63" w:rsidP="00E61B63">
      <w:pPr>
        <w:pStyle w:val="Body"/>
        <w:spacing w:before="75" w:after="100"/>
        <w:rPr>
          <w:rFonts w:cstheme="majorBidi"/>
          <w:b/>
          <w:bCs/>
          <w:color w:val="000000" w:themeColor="text1"/>
          <w:sz w:val="36"/>
          <w:szCs w:val="36"/>
        </w:rPr>
      </w:pPr>
      <w:r w:rsidRPr="00E61B63">
        <w:rPr>
          <w:rFonts w:cstheme="majorBidi"/>
          <w:b/>
          <w:bCs/>
          <w:color w:val="000000" w:themeColor="text1"/>
          <w:sz w:val="36"/>
          <w:szCs w:val="36"/>
        </w:rPr>
        <w:t>Impact of Medical Comorbidities and In-Hospital Complications on Clinical Outcomes in Stroke Patients: A Prosp</w:t>
      </w:r>
      <w:r w:rsidR="009E6D04">
        <w:rPr>
          <w:rFonts w:cstheme="majorBidi"/>
          <w:b/>
          <w:bCs/>
          <w:color w:val="000000" w:themeColor="text1"/>
          <w:sz w:val="36"/>
          <w:szCs w:val="36"/>
        </w:rPr>
        <w:t xml:space="preserve">ective Cohort Study at </w:t>
      </w:r>
      <w:r w:rsidR="00CF650F">
        <w:rPr>
          <w:rFonts w:cstheme="majorBidi"/>
          <w:b/>
          <w:bCs/>
          <w:color w:val="000000" w:themeColor="text1"/>
          <w:sz w:val="36"/>
          <w:szCs w:val="36"/>
        </w:rPr>
        <w:t>University of Lahore Teaching Hospital</w:t>
      </w:r>
      <w:r w:rsidRPr="00E61B63">
        <w:rPr>
          <w:rFonts w:cstheme="majorBidi"/>
          <w:b/>
          <w:bCs/>
          <w:color w:val="000000" w:themeColor="text1"/>
          <w:sz w:val="36"/>
          <w:szCs w:val="36"/>
        </w:rPr>
        <w:t>, Pakistan</w:t>
      </w:r>
    </w:p>
    <w:p w:rsidR="00E202E9" w:rsidRPr="00BB7230" w:rsidRDefault="00C47F37" w:rsidP="007C1877">
      <w:pPr>
        <w:pStyle w:val="Body"/>
        <w:spacing w:before="75" w:after="100"/>
        <w:rPr>
          <w:rFonts w:cstheme="majorBidi"/>
          <w:b/>
          <w:bCs/>
          <w:color w:val="074F6A" w:themeColor="accent4" w:themeShade="80"/>
          <w:sz w:val="24"/>
          <w:szCs w:val="24"/>
        </w:rPr>
      </w:pPr>
      <w:r>
        <w:rPr>
          <w:rFonts w:cstheme="majorBidi"/>
          <w:b/>
          <w:bCs/>
          <w:color w:val="074F6A" w:themeColor="accent4" w:themeShade="80"/>
          <w:sz w:val="24"/>
          <w:szCs w:val="24"/>
        </w:rPr>
        <w:t xml:space="preserve">Dr. </w:t>
      </w:r>
      <w:proofErr w:type="spellStart"/>
      <w:r>
        <w:rPr>
          <w:rFonts w:cstheme="majorBidi"/>
          <w:b/>
          <w:bCs/>
          <w:color w:val="074F6A" w:themeColor="accent4" w:themeShade="80"/>
          <w:sz w:val="24"/>
          <w:szCs w:val="24"/>
        </w:rPr>
        <w:t>Mahrukh</w:t>
      </w:r>
      <w:proofErr w:type="spellEnd"/>
      <w:r>
        <w:rPr>
          <w:rFonts w:cstheme="majorBidi"/>
          <w:b/>
          <w:bCs/>
          <w:color w:val="074F6A" w:themeColor="accent4" w:themeShade="80"/>
          <w:sz w:val="24"/>
          <w:szCs w:val="24"/>
        </w:rPr>
        <w:t xml:space="preserve"> Syed</w:t>
      </w:r>
      <w:r w:rsidR="007C1877" w:rsidRPr="007C1877">
        <w:rPr>
          <w:rFonts w:cstheme="majorBidi"/>
          <w:b/>
          <w:bCs/>
          <w:color w:val="074F6A" w:themeColor="accent4" w:themeShade="80"/>
          <w:sz w:val="24"/>
          <w:szCs w:val="24"/>
        </w:rPr>
        <w:t>¹</w:t>
      </w:r>
    </w:p>
    <w:p w:rsidR="00607EA1" w:rsidRPr="00BB7230" w:rsidRDefault="00015CFD" w:rsidP="004175AC">
      <w:pPr>
        <w:pStyle w:val="Body"/>
        <w:spacing w:before="75" w:after="75" w:line="240" w:lineRule="auto"/>
        <w:rPr>
          <w:rFonts w:cstheme="majorBidi"/>
          <w:color w:val="000000" w:themeColor="text1"/>
          <w:sz w:val="18"/>
          <w:szCs w:val="16"/>
        </w:rPr>
      </w:pPr>
      <w:r>
        <w:rPr>
          <w:rFonts w:cstheme="majorBidi"/>
          <w:color w:val="000000" w:themeColor="text1"/>
          <w:sz w:val="18"/>
          <w:szCs w:val="16"/>
        </w:rPr>
        <w:t>¹</w:t>
      </w:r>
      <w:bookmarkStart w:id="0" w:name="_GoBack"/>
      <w:bookmarkEnd w:id="0"/>
      <w:r w:rsidR="00C47F37">
        <w:rPr>
          <w:rFonts w:cstheme="majorBidi"/>
          <w:color w:val="000000" w:themeColor="text1"/>
          <w:sz w:val="18"/>
          <w:szCs w:val="16"/>
        </w:rPr>
        <w:t>University of Lahore</w:t>
      </w:r>
      <w:r w:rsidR="007C1877"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B119DC">
        <w:rPr>
          <w:rFonts w:cstheme="majorBidi"/>
          <w:b/>
          <w:bCs/>
          <w:color w:val="074F6A" w:themeColor="accent4" w:themeShade="80"/>
          <w:sz w:val="18"/>
          <w:szCs w:val="16"/>
          <w:lang w:val="pt-BR"/>
        </w:rPr>
        <w:t>Dr. Marukh S</w:t>
      </w:r>
      <w:r w:rsidR="00C47F37">
        <w:rPr>
          <w:rFonts w:cstheme="majorBidi"/>
          <w:b/>
          <w:bCs/>
          <w:color w:val="074F6A" w:themeColor="accent4" w:themeShade="80"/>
          <w:sz w:val="18"/>
          <w:szCs w:val="16"/>
          <w:lang w:val="pt-BR"/>
        </w:rPr>
        <w:t>yed</w:t>
      </w:r>
      <w:r w:rsidR="007C1877" w:rsidRPr="007C1877">
        <w:rPr>
          <w:rFonts w:cstheme="majorBidi"/>
          <w:b/>
          <w:bCs/>
          <w:color w:val="074F6A" w:themeColor="accent4" w:themeShade="80"/>
          <w:sz w:val="18"/>
          <w:szCs w:val="16"/>
          <w:lang w:val="pt-BR"/>
        </w:rPr>
        <w:t xml:space="preserve">, </w:t>
      </w:r>
      <w:r w:rsidR="00C47F37">
        <w:rPr>
          <w:rFonts w:cstheme="majorBidi"/>
          <w:b/>
          <w:bCs/>
          <w:color w:val="074F6A" w:themeColor="accent4" w:themeShade="80"/>
          <w:sz w:val="18"/>
          <w:szCs w:val="16"/>
          <w:lang w:val="pt-BR"/>
        </w:rPr>
        <w:t>mahrukhsyed43@gmail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w:t>
        </w:r>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s</w:t>
        </w:r>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 xml:space="preserve"> Art</w:t>
        </w:r>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i</w:t>
        </w:r>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January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March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C47F3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MS; Design: MS Data Collection: MS; Analysis: MS Drafting: MS</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C47F3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University of Lahore</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B119DC">
      <w:pPr>
        <w:pStyle w:val="Heading1"/>
      </w:pPr>
      <w:r w:rsidRPr="00BB7230">
        <w:t>Abstract</w:t>
      </w:r>
    </w:p>
    <w:p w:rsidR="003D5D96" w:rsidRPr="00B119DC" w:rsidRDefault="003D5D96" w:rsidP="00B119DC">
      <w:pPr>
        <w:pStyle w:val="Body"/>
      </w:pPr>
      <w:r w:rsidRPr="00B119DC">
        <w:t xml:space="preserve">Background: Stroke outcomes are substantially influenced by baseline medical comorbidities and the development of acute in-hospital complications. Limited prospective evidence from tertiary-care settings in Pakistan has evaluated the combined impact of chronic disease burden and hospital-acquired complications on short-term stroke outcomes. Objective: To evaluate the association of medical comorbidities and in-hospital complications with clinical outcomes among hospitalized stroke patients at </w:t>
      </w:r>
      <w:r w:rsidR="00CF650F" w:rsidRPr="00B119DC">
        <w:t>University of Lahore Teaching Hospital</w:t>
      </w:r>
      <w:r w:rsidRPr="00B119DC">
        <w:t xml:space="preserve">, Pakistan. Methods: This prospective cohort study included 87 hospitalized patients with acute stroke. Demographic characteristics, stroke subtype, baseline comorbidities, </w:t>
      </w:r>
      <w:proofErr w:type="spellStart"/>
      <w:r w:rsidRPr="00B119DC">
        <w:t>Charlson</w:t>
      </w:r>
      <w:proofErr w:type="spellEnd"/>
      <w:r w:rsidRPr="00B119DC">
        <w:t xml:space="preserve"> Comorbidity Index, </w:t>
      </w:r>
      <w:proofErr w:type="spellStart"/>
      <w:r w:rsidRPr="00B119DC">
        <w:t>polypharmacy</w:t>
      </w:r>
      <w:proofErr w:type="spellEnd"/>
      <w:r w:rsidRPr="00B119DC">
        <w:t xml:space="preserve">, in-hospital complications, cardiac events, and discharge outcomes were recorded. Relative risks (RRs) with 95% confidence intervals (CIs) were calculated to assess predictors of poor clinical outcome. Results: The mean age was 72.8 ± 11.6 years, and 55.2% of patients were female. Ischemic stroke accounted for 92.0% of cases. Hypertension (80.5%), chronic kidney disease (40.2%), and diabetes mellitus (31.0%) were the most prevalent comorbidities. Pneumonia developed in 42.5% of patients, while 50.6% experienced at least one in-hospital medical complication. Poor clinical outcome occurred in 35.6%, and in-hospital mortality was 10.3%. Cardiac events demonstrated the strongest association with poor outcome (RR 4.90, 95% CI 2.10–11.45; p &lt; 0.001), followed by any medical complication (RR 3.85, 95% CI 1.95–7.60; p &lt; 0.001) and pneumonia (RR 3.42, 95% CI 1.76–6.65; p &lt; 0.001). </w:t>
      </w:r>
      <w:proofErr w:type="spellStart"/>
      <w:r w:rsidRPr="00B119DC">
        <w:t>Charlson</w:t>
      </w:r>
      <w:proofErr w:type="spellEnd"/>
      <w:r w:rsidRPr="00B119DC">
        <w:t xml:space="preserve"> Comorbidity </w:t>
      </w:r>
      <w:r w:rsidRPr="00B119DC">
        <w:rPr>
          <w:rFonts w:ascii="Times New Roman" w:hAnsi="Times New Roman" w:cs="Times New Roman"/>
        </w:rPr>
        <w:t>Index ≥2 and diabetes mellitus were also significantly associated with adverse</w:t>
      </w:r>
      <w:r w:rsidRPr="00B119DC">
        <w:t xml:space="preserve"> outcomes. Conclusion: Acute in-hospital complications, particularly cardiac events and pneumonia, were major predictors of poor clinical outcome among hospitalized stroke patients. Early recognition and multidisciplinary management of medical complications may improve stroke outcomes in tertiary-care settings. Keywords: stroke; comorbidity; pneumonia; cardiac complications; clinical outcome; tertiary care hospital; Pakistan; ischemic stroke; cohort study.</w:t>
      </w:r>
    </w:p>
    <w:p w:rsidR="007C1877" w:rsidRPr="00B119DC" w:rsidRDefault="007C1877" w:rsidP="00B119DC">
      <w:pPr>
        <w:pStyle w:val="Heading1"/>
      </w:pPr>
      <w:r w:rsidRPr="00B119DC">
        <w:t>Introduction</w:t>
      </w:r>
    </w:p>
    <w:p w:rsidR="003D5D96" w:rsidRPr="00B119DC" w:rsidRDefault="003D5D96" w:rsidP="00B119DC">
      <w:pPr>
        <w:pStyle w:val="Body"/>
      </w:pPr>
      <w:r w:rsidRPr="00B119DC">
        <w:t xml:space="preserve">Stroke remains a major cause of mortality, disability, and long-term functional dependence worldwide, with outcomes strongly influenced not only by stroke subtype and neurological severity but also by the patient’s baseline medical comorbidity profile and complications occurring during hospitalization. Older stroke patients frequently present with multiple chronic illnesses, including hypertension, diabetes mellitus, chronic kidney disease, ischemic heart disease, heart failure, atrial fibrillation, chronic respiratory disease, cognitive impairment, and mood disorders, all of which may reduce physiological reserve and complicate acute management. In the present cohort, patients were elderly, with a mean age of 72.8 ± 11.6 years, and carried a substantial comorbidity burden, reflected by a median of 4 comorbidities and a </w:t>
      </w:r>
      <w:proofErr w:type="spellStart"/>
      <w:r w:rsidRPr="00B119DC">
        <w:t>Charlson</w:t>
      </w:r>
      <w:proofErr w:type="spellEnd"/>
      <w:r w:rsidRPr="00B119DC">
        <w:t xml:space="preserve"> Comorbidity Index ≥2 in 32.2% of patients. Hypertension was highly prevalent at 80.5%, followed by chronic kidney disease at 40.2% and diabetes mellitus at 31.0%, supporting the relevance of </w:t>
      </w:r>
      <w:proofErr w:type="spellStart"/>
      <w:r w:rsidRPr="00B119DC">
        <w:t>multimorbidity</w:t>
      </w:r>
      <w:proofErr w:type="spellEnd"/>
      <w:r w:rsidRPr="00B119DC">
        <w:t xml:space="preserve"> as a central clinical issue in this population. </w:t>
      </w:r>
    </w:p>
    <w:p w:rsidR="003D5D96" w:rsidRPr="00B119DC" w:rsidRDefault="003D5D96" w:rsidP="00B119DC">
      <w:pPr>
        <w:pStyle w:val="Body"/>
      </w:pPr>
      <w:r w:rsidRPr="00B119DC">
        <w:t xml:space="preserve">In tertiary care settings, particularly in Pakistan, stroke patients often require multidisciplinary management because neurological injury interacts with cardiovascular, renal, metabolic, respiratory, and infectious complications. Ischemic stroke represented the dominant stroke subtype in this study, accounting for 92.0% of </w:t>
      </w:r>
      <w:r w:rsidRPr="00B119DC">
        <w:lastRenderedPageBreak/>
        <w:t xml:space="preserve">cases, while hemorrhagic stroke accounted for 8.0%. This distribution highlights the importance of identifying modifiable medical factors that may influence recovery after acute stroke. In-hospital complications are especially important because they may be preventable or treatable through early screening, </w:t>
      </w:r>
      <w:proofErr w:type="spellStart"/>
      <w:r w:rsidRPr="00B119DC">
        <w:t>protocolized</w:t>
      </w:r>
      <w:proofErr w:type="spellEnd"/>
      <w:r w:rsidRPr="00B119DC">
        <w:t xml:space="preserve"> care, cardiac monitoring, dysphagia assessment, infection prevention, early mobilization, and optimization of chronic disease management.</w:t>
      </w:r>
    </w:p>
    <w:p w:rsidR="003D5D96" w:rsidRPr="00B119DC" w:rsidRDefault="003D5D96" w:rsidP="00B119DC">
      <w:pPr>
        <w:pStyle w:val="Body"/>
      </w:pPr>
      <w:r w:rsidRPr="00B119DC">
        <w:t xml:space="preserve">Although international literature has increasingly emphasized the role of comorbidity burden, </w:t>
      </w:r>
      <w:proofErr w:type="spellStart"/>
      <w:r w:rsidRPr="00B119DC">
        <w:t>polypharmacy</w:t>
      </w:r>
      <w:proofErr w:type="spellEnd"/>
      <w:r w:rsidRPr="00B119DC">
        <w:t xml:space="preserve">, post-stroke pneumonia, cardiac complications, and systemic inflammation in determining stroke prognosis, locally relevant evidence from Pakistani tertiary hospitals remains limited. This gap is clinically important because patient demographics, healthcare access, baseline disease control, complication detection, rehabilitation availability, and discharge planning may differ substantially across health systems. In the present dataset, 50.6% of patients developed at least one in-hospital medical complication, 42.5% developed pneumonia, and 12.6% experienced a cardiac event during admission. Poor clinical outcome occurred in 35.6%, while in-hospital mortality was 10.3%, indicating a clinically meaningful burden of adverse outcomes in this cohort. </w:t>
      </w:r>
    </w:p>
    <w:p w:rsidR="003D5D96" w:rsidRPr="00B119DC" w:rsidRDefault="003D5D96" w:rsidP="00B119DC">
      <w:pPr>
        <w:pStyle w:val="Body"/>
      </w:pPr>
      <w:r w:rsidRPr="00B119DC">
        <w:t xml:space="preserve">The observed associations further justify focused investigation of comorbidities and complications as predictors of stroke outcome. Any in-hospital medical complication was associated with a markedly increased risk of poor clinical outcome, with a relative risk of 3.85; pneumonia was similarly associated with increased risk, with a relative risk of 3.42; and cardiac events showed the strongest association, with a relative risk of 4.90. Higher comorbidity burden, measured by </w:t>
      </w:r>
      <w:proofErr w:type="spellStart"/>
      <w:r w:rsidRPr="00B119DC">
        <w:t>Charlson</w:t>
      </w:r>
      <w:proofErr w:type="spellEnd"/>
      <w:r w:rsidRPr="00B119DC">
        <w:t xml:space="preserve"> Comorbidity </w:t>
      </w:r>
      <w:r w:rsidRPr="00B119DC">
        <w:rPr>
          <w:rFonts w:ascii="Times New Roman" w:hAnsi="Times New Roman" w:cs="Times New Roman"/>
        </w:rPr>
        <w:t>Index ≥2, and diabetes mellitus were also significantly</w:t>
      </w:r>
      <w:r w:rsidRPr="00B119DC">
        <w:t xml:space="preserve"> associated with poor outcome, whereas </w:t>
      </w:r>
      <w:proofErr w:type="spellStart"/>
      <w:r w:rsidRPr="00B119DC">
        <w:t>polypharmacy</w:t>
      </w:r>
      <w:proofErr w:type="spellEnd"/>
      <w:r w:rsidRPr="00B119DC">
        <w:t xml:space="preserve">, chronic kidney disease, and COPD showed weaker or non-significant associations. </w:t>
      </w:r>
    </w:p>
    <w:p w:rsidR="003D5D96" w:rsidRPr="00B119DC" w:rsidRDefault="003D5D96" w:rsidP="00B119DC">
      <w:pPr>
        <w:pStyle w:val="Body"/>
      </w:pPr>
      <w:r w:rsidRPr="00B119DC">
        <w:t>Therefore, this study was designed to evaluate the impact of baseline medical comorbidities and in-hospital complications on clinical outcomes among stroke patients admitted t</w:t>
      </w:r>
      <w:r w:rsidR="00B119DC" w:rsidRPr="00B119DC">
        <w:t>o University of Lahore Teaching</w:t>
      </w:r>
      <w:r w:rsidRPr="00B119DC">
        <w:t xml:space="preserve"> Hospital, Pakistan. The primary objective was to determine whether comorbidity burden and acute medical complications, particularly pneumonia and cardiac events, were associated with poor clinical outcome among hospitalized stroke patients. The study hypothesis was that stroke patients with higher comorbidity burden and in-hospital complications would have a significantly greater risk of poor clinical outcome compared with patients without these factors.</w:t>
      </w:r>
    </w:p>
    <w:p w:rsidR="00BB3BA0" w:rsidRPr="00B119DC" w:rsidRDefault="00BB3BA0" w:rsidP="00B119DC">
      <w:pPr>
        <w:pStyle w:val="Heading1"/>
      </w:pPr>
      <w:r w:rsidRPr="00B119DC">
        <w:t>Materials and Methods</w:t>
      </w:r>
    </w:p>
    <w:p w:rsidR="003D5D96" w:rsidRPr="00B119DC" w:rsidRDefault="003D5D96" w:rsidP="00B119DC">
      <w:pPr>
        <w:pStyle w:val="Body"/>
      </w:pPr>
      <w:r w:rsidRPr="00B119DC">
        <w:t xml:space="preserve">This prospective cohort study was conducted at </w:t>
      </w:r>
      <w:r w:rsidR="00CF650F" w:rsidRPr="00B119DC">
        <w:t>University of Lahore Teaching Hospital</w:t>
      </w:r>
      <w:r w:rsidRPr="00B119DC">
        <w:t xml:space="preserve">, Pakistan, to evaluate the association of baseline medical comorbidities and in-hospital complications with clinical outcomes among hospitalized stroke patients. Adult patients admitted with a diagnosis of acute stroke were enrolled and followed during hospitalization until discharge or in-hospital death. Stroke type was classified as ischemic or hemorrhagic according to clinical assessment and neuroimaging documentation. The study population included 87 patients, of whom 80 had ischemic stroke and 7 had hemorrhagic stroke. </w:t>
      </w:r>
    </w:p>
    <w:p w:rsidR="003D5D96" w:rsidRPr="00B119DC" w:rsidRDefault="003D5D96" w:rsidP="00B119DC">
      <w:pPr>
        <w:pStyle w:val="Body"/>
      </w:pPr>
      <w:r w:rsidRPr="00B119DC">
        <w:t xml:space="preserve">Eligible participants were patients admitted with confirmed acute stroke and available clinical data on baseline demographics, comorbidities, in-hospital complications, and discharge outcomes. Patients with incomplete outcome data or uncertain stroke diagnosis were excluded. Demographic and clinical information was collected using a structured data extraction approach. Recorded variables included age, sex, stroke type, number of comorbidities, </w:t>
      </w:r>
      <w:proofErr w:type="spellStart"/>
      <w:r w:rsidRPr="00B119DC">
        <w:t>Charlson</w:t>
      </w:r>
      <w:proofErr w:type="spellEnd"/>
      <w:r w:rsidRPr="00B119DC">
        <w:t xml:space="preserve"> Comorbidity Index, </w:t>
      </w:r>
      <w:proofErr w:type="spellStart"/>
      <w:r w:rsidRPr="00B119DC">
        <w:t>polypharmacy</w:t>
      </w:r>
      <w:proofErr w:type="spellEnd"/>
      <w:r w:rsidRPr="00B119DC">
        <w:t xml:space="preserve">, hypertension, diabetes mellitus, ischemic heart disease, heart failure, chronic kidney disease, COPD, atrial fibrillation, mood or psychiatric disorder, cognitive impairment, pneumonia during admission, any in-hospital medical complication, cardiac event, acute coronary syndrome, new-onset heart failure, arrhythmia, discharge disposition, length of hospital stay, poor clinical outcome, and in-hospital mortality. </w:t>
      </w:r>
    </w:p>
    <w:p w:rsidR="003D5D96" w:rsidRPr="00B119DC" w:rsidRDefault="003D5D96" w:rsidP="00B119DC">
      <w:pPr>
        <w:pStyle w:val="Body"/>
      </w:pPr>
      <w:r w:rsidRPr="00B119DC">
        <w:t xml:space="preserve">The primary outcome was poor clinical outcome during hospitalization. Secondary outcomes included in-hospital mortality, favorable discharge disposition, length of hospital stay, and cardiac events during admission. Comorbidity burden was assessed using the number of documented comorbidities and </w:t>
      </w:r>
      <w:proofErr w:type="spellStart"/>
      <w:r w:rsidRPr="00B119DC">
        <w:t>Charlson</w:t>
      </w:r>
      <w:proofErr w:type="spellEnd"/>
      <w:r w:rsidRPr="00B119DC">
        <w:t xml:space="preserve"> Comorbidity Index, with CCI ≥2 categorized as higher comorbidity burden. </w:t>
      </w:r>
      <w:proofErr w:type="spellStart"/>
      <w:r w:rsidRPr="00B119DC">
        <w:t>Polypharmacy</w:t>
      </w:r>
      <w:proofErr w:type="spellEnd"/>
      <w:r w:rsidRPr="00B119DC">
        <w:t xml:space="preserve"> was recorded as a baseline medication-related variable. In-hospital medical complications included clinically documented complications occurring after admission, with pneumonia and cardiac events analyzed separately because of their direct relevance to post-stroke deterioration. Cardiac events included acute coronary syndrome, new-onset heart failure, and arrhythmia. </w:t>
      </w:r>
    </w:p>
    <w:p w:rsidR="003D5D96" w:rsidRPr="00B119DC" w:rsidRDefault="003D5D96" w:rsidP="00B119DC">
      <w:pPr>
        <w:pStyle w:val="Body"/>
      </w:pPr>
      <w:r w:rsidRPr="00B119DC">
        <w:lastRenderedPageBreak/>
        <w:t xml:space="preserve">To reduce information bias, variables were defined before analysis and extracted consistently across participants. Confounding was addressed by evaluating clinically relevant predictors including comorbidity burden, diabetes mellitus, chronic kidney disease, COPD, pneumonia, cardiac events, and any in-hospital medical complication. Missing or unavailable values were not imputed for primary analysis, and analyses were conducted using available complete data for each variable. Descriptive statistics were reported as mean ± standard deviation for normally distributed continuous variables, median with interquartile range for skewed continuous variables, and frequency with percentage for categorical variables. Associations between predictors and poor clinical outcome were estimated using relative risks with 95% confidence intervals. Statistical significance was assessed using p-values, with p &lt; 0.05 considered statistically significant. </w:t>
      </w:r>
    </w:p>
    <w:p w:rsidR="003D5D96" w:rsidRPr="00B119DC" w:rsidRDefault="003D5D96" w:rsidP="00B119DC">
      <w:pPr>
        <w:pStyle w:val="Body"/>
      </w:pPr>
      <w:r w:rsidRPr="00B119DC">
        <w:t>The sample size was based on the available cohort of hospitalized stroke patients meeting eligibility criteria during the study period. Data integrity was maintained through structured variable coding, consistency checks between tables and outcomes, and verification of calculated percentages against the total sample size. Ethical approval was obtained from the institutional review process, and patient confidentiality was maintained throughout data handling and analysis.</w:t>
      </w:r>
    </w:p>
    <w:p w:rsidR="00BB3BA0" w:rsidRPr="00B119DC" w:rsidRDefault="00BB3BA0" w:rsidP="00B119DC">
      <w:pPr>
        <w:pStyle w:val="Heading1"/>
      </w:pPr>
      <w:r w:rsidRPr="00B119DC">
        <w:t>Results</w:t>
      </w:r>
    </w:p>
    <w:p w:rsidR="003D5D96" w:rsidRPr="00B119DC" w:rsidRDefault="003D5D96" w:rsidP="00B119DC">
      <w:pPr>
        <w:pStyle w:val="Body"/>
      </w:pPr>
      <w:r w:rsidRPr="00B119DC">
        <w:t xml:space="preserve">A total of 87 patients with acute stroke were included in the analysis. The mean age of the study population was 72.8 ± 11.6 years. Females represented 55.2% (n = 48) of the cohort, while males accounted for 44.8% (n = 39). Ischemic stroke was the predominant subtype, observed in 92.0% (n = 80) of patients, whereas hemorrhagic stroke accounted for 8.0% (n = 7). The median number of comorbidities was 4.0 (IQR 3.0–6.0). Higher comorbidity burden, defined as </w:t>
      </w:r>
      <w:proofErr w:type="spellStart"/>
      <w:r w:rsidRPr="00B119DC">
        <w:t>Charlson</w:t>
      </w:r>
      <w:proofErr w:type="spellEnd"/>
      <w:r w:rsidRPr="00B119DC">
        <w:t xml:space="preserve"> Comorbidity Index ≥2, was present in 32.2% (n = 28) of patients, and </w:t>
      </w:r>
      <w:proofErr w:type="spellStart"/>
      <w:r w:rsidRPr="00B119DC">
        <w:t>polypharmacy</w:t>
      </w:r>
      <w:proofErr w:type="spellEnd"/>
      <w:r w:rsidRPr="00B119DC">
        <w:t xml:space="preserve"> was documented in 44.8% (n = 39) of the cohort (Table 1). </w:t>
      </w:r>
    </w:p>
    <w:p w:rsidR="003D5D96" w:rsidRPr="00B119DC" w:rsidRDefault="003D5D96" w:rsidP="00B119DC">
      <w:pPr>
        <w:pStyle w:val="Caption"/>
      </w:pPr>
      <w:r w:rsidRPr="00B119DC">
        <w:t>Table 1. Baseline Demographic and Clinical Characteristics of Stroke Patients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608"/>
        <w:gridCol w:w="4241"/>
      </w:tblGrid>
      <w:tr w:rsidR="003D5D96" w:rsidRPr="00B119DC" w:rsidTr="00B119DC">
        <w:tc>
          <w:tcPr>
            <w:tcW w:w="2314"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Variable</w:t>
            </w:r>
          </w:p>
        </w:tc>
        <w:tc>
          <w:tcPr>
            <w:tcW w:w="337"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n</w:t>
            </w:r>
          </w:p>
        </w:tc>
        <w:tc>
          <w:tcPr>
            <w:tcW w:w="2349"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 / Mean ± SD / Median (IQR)</w:t>
            </w:r>
          </w:p>
        </w:tc>
      </w:tr>
      <w:tr w:rsidR="003D5D96" w:rsidRPr="00B119DC" w:rsidTr="00B119DC">
        <w:tc>
          <w:tcPr>
            <w:tcW w:w="2314" w:type="pct"/>
            <w:tcBorders>
              <w:top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Age, years</w:t>
            </w:r>
          </w:p>
        </w:tc>
        <w:tc>
          <w:tcPr>
            <w:tcW w:w="337" w:type="pct"/>
            <w:tcBorders>
              <w:top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87</w:t>
            </w:r>
          </w:p>
        </w:tc>
        <w:tc>
          <w:tcPr>
            <w:tcW w:w="2349" w:type="pct"/>
            <w:tcBorders>
              <w:top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72.8 ± 11.6</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Female sex</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48</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55.2%</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Male sex</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39</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44.8%</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Ischemic stroke</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80</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92.0%</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Hemorrhagic stroke</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7</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8.0%</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Median number of comorbidities</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87</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4.0 (3.0–6.0)</w:t>
            </w:r>
          </w:p>
        </w:tc>
      </w:tr>
      <w:tr w:rsidR="003D5D96" w:rsidRPr="00B119DC" w:rsidTr="00B119DC">
        <w:tc>
          <w:tcPr>
            <w:tcW w:w="2314" w:type="pct"/>
            <w:shd w:val="clear" w:color="auto" w:fill="auto"/>
            <w:hideMark/>
          </w:tcPr>
          <w:p w:rsidR="003D5D96" w:rsidRPr="00B119DC" w:rsidRDefault="003D5D96" w:rsidP="00B119DC">
            <w:pPr>
              <w:pStyle w:val="Body"/>
              <w:spacing w:after="0" w:line="240" w:lineRule="auto"/>
              <w:jc w:val="left"/>
              <w:rPr>
                <w:b/>
                <w:color w:val="000000"/>
                <w:sz w:val="16"/>
              </w:rPr>
            </w:pPr>
            <w:proofErr w:type="spellStart"/>
            <w:r w:rsidRPr="00B119DC">
              <w:rPr>
                <w:b/>
                <w:color w:val="000000"/>
                <w:sz w:val="16"/>
              </w:rPr>
              <w:t>Charlson</w:t>
            </w:r>
            <w:proofErr w:type="spellEnd"/>
            <w:r w:rsidRPr="00B119DC">
              <w:rPr>
                <w:b/>
                <w:color w:val="000000"/>
                <w:sz w:val="16"/>
              </w:rPr>
              <w:t xml:space="preserve"> Comorbidity Index ≥2</w:t>
            </w:r>
          </w:p>
        </w:tc>
        <w:tc>
          <w:tcPr>
            <w:tcW w:w="337"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28</w:t>
            </w:r>
          </w:p>
        </w:tc>
        <w:tc>
          <w:tcPr>
            <w:tcW w:w="2349"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32.2%</w:t>
            </w:r>
          </w:p>
        </w:tc>
      </w:tr>
      <w:tr w:rsidR="003D5D96" w:rsidRPr="00B119DC" w:rsidTr="00B119DC">
        <w:tc>
          <w:tcPr>
            <w:tcW w:w="2314"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proofErr w:type="spellStart"/>
            <w:r w:rsidRPr="00B119DC">
              <w:rPr>
                <w:b/>
                <w:color w:val="000000"/>
                <w:sz w:val="16"/>
              </w:rPr>
              <w:t>Polypharmacy</w:t>
            </w:r>
            <w:proofErr w:type="spellEnd"/>
          </w:p>
        </w:tc>
        <w:tc>
          <w:tcPr>
            <w:tcW w:w="337"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39</w:t>
            </w:r>
          </w:p>
        </w:tc>
        <w:tc>
          <w:tcPr>
            <w:tcW w:w="2349"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44.8%</w:t>
            </w:r>
          </w:p>
        </w:tc>
      </w:tr>
    </w:tbl>
    <w:p w:rsidR="003D5D96" w:rsidRPr="00B119DC" w:rsidRDefault="003D5D96" w:rsidP="00B119DC">
      <w:pPr>
        <w:pStyle w:val="Body"/>
      </w:pPr>
      <w:r w:rsidRPr="00B119DC">
        <w:t xml:space="preserve">Hypertension was the most prevalent comorbidity, affecting 80.5% (n = 70) of patients, followed by chronic kidney disease in 40.2% (n = 35) and diabetes mellitus in 31.0% (n = 27). Ischemic heart disease was observed in 18.4% (n = 16), while heart failure and atrial fibrillation were present in 10.3% (n = 9) and 9.2% (n = 8) of patients, respectively. COPD affected 14.9% (n = 13) of patients. Mood or psychiatric disorders and cognitive impairment were each documented in 11.5% (n = 10) of the cohort. Pneumonia during admission occurred in 42.5% (n = 37) of patients, and 50.6% (n = 44) developed at least one in-hospital medical complication (Table 2). </w:t>
      </w:r>
    </w:p>
    <w:p w:rsidR="003D5D96" w:rsidRPr="00B119DC" w:rsidRDefault="003D5D96" w:rsidP="00B119DC">
      <w:pPr>
        <w:pStyle w:val="Caption"/>
      </w:pPr>
      <w:r w:rsidRPr="00B119DC">
        <w:t>Table 2. Clinical Comorbidities and In-Hospital Study Variables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854"/>
        <w:gridCol w:w="1506"/>
      </w:tblGrid>
      <w:tr w:rsidR="003D5D96" w:rsidRPr="00B119DC" w:rsidTr="00B119DC">
        <w:tc>
          <w:tcPr>
            <w:tcW w:w="3693"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w:t>
            </w:r>
          </w:p>
        </w:tc>
        <w:tc>
          <w:tcPr>
            <w:tcW w:w="473"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n</w:t>
            </w:r>
          </w:p>
        </w:tc>
        <w:tc>
          <w:tcPr>
            <w:tcW w:w="834"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w:t>
            </w:r>
          </w:p>
        </w:tc>
      </w:tr>
      <w:tr w:rsidR="003D5D96" w:rsidRPr="00B119DC" w:rsidTr="00B119DC">
        <w:tc>
          <w:tcPr>
            <w:tcW w:w="3693" w:type="pct"/>
            <w:tcBorders>
              <w:top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Hypertension</w:t>
            </w:r>
          </w:p>
        </w:tc>
        <w:tc>
          <w:tcPr>
            <w:tcW w:w="473" w:type="pct"/>
            <w:tcBorders>
              <w:top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70</w:t>
            </w:r>
          </w:p>
        </w:tc>
        <w:tc>
          <w:tcPr>
            <w:tcW w:w="834" w:type="pct"/>
            <w:tcBorders>
              <w:top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80.5%</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Diabetes mellitus</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27</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31.0%</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Ischemic heart disease</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16</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18.4%</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Heart failure</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9</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10.3%</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Chronic kidney disease</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35</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40.2%</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COPD</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13</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14.9%</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Atrial fibrillation</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8</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9.2%</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Mood or psychiatric disorder</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10</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11.5%</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Cognitive impairment</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10</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11.5%</w:t>
            </w:r>
          </w:p>
        </w:tc>
      </w:tr>
      <w:tr w:rsidR="003D5D96" w:rsidRPr="00B119DC" w:rsidTr="00B119DC">
        <w:tc>
          <w:tcPr>
            <w:tcW w:w="3693" w:type="pct"/>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Pneumonia during admission</w:t>
            </w:r>
          </w:p>
        </w:tc>
        <w:tc>
          <w:tcPr>
            <w:tcW w:w="473"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37</w:t>
            </w:r>
          </w:p>
        </w:tc>
        <w:tc>
          <w:tcPr>
            <w:tcW w:w="834" w:type="pct"/>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42.5%</w:t>
            </w:r>
          </w:p>
        </w:tc>
      </w:tr>
      <w:tr w:rsidR="003D5D96" w:rsidRPr="00B119DC" w:rsidTr="00B119DC">
        <w:tc>
          <w:tcPr>
            <w:tcW w:w="3693"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b/>
                <w:color w:val="000000"/>
                <w:sz w:val="16"/>
              </w:rPr>
            </w:pPr>
            <w:r w:rsidRPr="00B119DC">
              <w:rPr>
                <w:b/>
                <w:color w:val="000000"/>
                <w:sz w:val="16"/>
              </w:rPr>
              <w:t>Any in-hospital medical complication</w:t>
            </w:r>
          </w:p>
        </w:tc>
        <w:tc>
          <w:tcPr>
            <w:tcW w:w="473"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44</w:t>
            </w:r>
          </w:p>
        </w:tc>
        <w:tc>
          <w:tcPr>
            <w:tcW w:w="834" w:type="pct"/>
            <w:tcBorders>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50.6%</w:t>
            </w:r>
          </w:p>
        </w:tc>
      </w:tr>
    </w:tbl>
    <w:p w:rsidR="003D5D96" w:rsidRPr="00B119DC" w:rsidRDefault="003D5D96" w:rsidP="00B119DC">
      <w:pPr>
        <w:pStyle w:val="Body"/>
      </w:pPr>
      <w:r w:rsidRPr="00B119DC">
        <w:t xml:space="preserve">Poor clinical outcome was observed in 35.6% (n = 31) of patients. In-hospital mortality occurred in 10.3% (n = 9), while a favorable discharge disposition was achieved in 59.8% (n = 52) of patients. The mean length of hospital stay was 8.7 ± 5.0 days. Cardiac events during admission occurred in 12.6% (n = 11) of patients. Among these, acute coronary syndrome was the most frequent cardiac event, occurring in 11.5% (n = 10), followed by new-onset heart failure in 6.9% (n = 6) and arrhythmia in 1.1% (n = 1) (Table 3). </w:t>
      </w:r>
    </w:p>
    <w:p w:rsidR="003D5D96" w:rsidRPr="00B119DC" w:rsidRDefault="003D5D96" w:rsidP="00B119DC">
      <w:pPr>
        <w:pStyle w:val="Caption"/>
      </w:pPr>
      <w:r w:rsidRPr="00B119DC">
        <w:t xml:space="preserve">Table 3. Clinical Outcomes </w:t>
      </w:r>
      <w:proofErr w:type="gramStart"/>
      <w:r w:rsidRPr="00B119DC">
        <w:t>Among</w:t>
      </w:r>
      <w:proofErr w:type="gramEnd"/>
      <w:r w:rsidRPr="00B119DC">
        <w:t xml:space="preserve"> Hospitalized Stroke Patients</w:t>
      </w: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769"/>
        <w:gridCol w:w="2818"/>
      </w:tblGrid>
      <w:tr w:rsidR="003D5D96" w:rsidRPr="00B119DC" w:rsidTr="00B11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Outcome</w:t>
            </w:r>
          </w:p>
        </w:tc>
        <w:tc>
          <w:tcPr>
            <w:tcW w:w="426"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n</w:t>
            </w:r>
          </w:p>
        </w:tc>
        <w:tc>
          <w:tcPr>
            <w:tcW w:w="1561"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 / Mean ± SD</w:t>
            </w:r>
          </w:p>
        </w:tc>
      </w:tr>
      <w:tr w:rsidR="003D5D96"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pct"/>
            <w:tcBorders>
              <w:top w:val="single" w:sz="4" w:space="0" w:color="000000"/>
            </w:tcBorders>
            <w:hideMark/>
          </w:tcPr>
          <w:p w:rsidR="003D5D96" w:rsidRPr="00B119DC" w:rsidRDefault="003D5D96" w:rsidP="00B119DC">
            <w:pPr>
              <w:pStyle w:val="Body"/>
              <w:spacing w:after="0" w:line="240" w:lineRule="auto"/>
              <w:jc w:val="left"/>
              <w:rPr>
                <w:color w:val="000000"/>
                <w:sz w:val="16"/>
              </w:rPr>
            </w:pPr>
            <w:r w:rsidRPr="00B119DC">
              <w:rPr>
                <w:color w:val="000000"/>
                <w:sz w:val="16"/>
              </w:rPr>
              <w:lastRenderedPageBreak/>
              <w:t>Poor clinical outcome</w:t>
            </w:r>
          </w:p>
        </w:tc>
        <w:tc>
          <w:tcPr>
            <w:tcW w:w="426"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31</w:t>
            </w:r>
          </w:p>
        </w:tc>
        <w:tc>
          <w:tcPr>
            <w:tcW w:w="1561"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35.6%</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In-hospital mortality</w:t>
            </w:r>
          </w:p>
        </w:tc>
        <w:tc>
          <w:tcPr>
            <w:tcW w:w="426"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9</w:t>
            </w:r>
          </w:p>
        </w:tc>
        <w:tc>
          <w:tcPr>
            <w:tcW w:w="156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10.3%</w:t>
            </w:r>
          </w:p>
        </w:tc>
      </w:tr>
      <w:tr w:rsidR="003D5D96"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Favorable discharge disposition</w:t>
            </w:r>
          </w:p>
        </w:tc>
        <w:tc>
          <w:tcPr>
            <w:tcW w:w="426"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52</w:t>
            </w:r>
          </w:p>
        </w:tc>
        <w:tc>
          <w:tcPr>
            <w:tcW w:w="156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59.8%</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Length of hospital stay, days</w:t>
            </w:r>
          </w:p>
        </w:tc>
        <w:tc>
          <w:tcPr>
            <w:tcW w:w="426"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87</w:t>
            </w:r>
          </w:p>
        </w:tc>
        <w:tc>
          <w:tcPr>
            <w:tcW w:w="156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8.7 ± 5.0</w:t>
            </w:r>
          </w:p>
        </w:tc>
      </w:tr>
      <w:tr w:rsidR="003D5D96"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Cardiac event during admission</w:t>
            </w:r>
          </w:p>
        </w:tc>
        <w:tc>
          <w:tcPr>
            <w:tcW w:w="426"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11</w:t>
            </w:r>
          </w:p>
        </w:tc>
        <w:tc>
          <w:tcPr>
            <w:tcW w:w="156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12.6%</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Acute coronary syndrome</w:t>
            </w:r>
          </w:p>
        </w:tc>
        <w:tc>
          <w:tcPr>
            <w:tcW w:w="426"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10</w:t>
            </w:r>
          </w:p>
        </w:tc>
        <w:tc>
          <w:tcPr>
            <w:tcW w:w="156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11.5%</w:t>
            </w:r>
          </w:p>
        </w:tc>
      </w:tr>
      <w:tr w:rsidR="003D5D96"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3" w:type="pct"/>
            <w:hideMark/>
          </w:tcPr>
          <w:p w:rsidR="003D5D96" w:rsidRPr="00B119DC" w:rsidRDefault="003D5D96" w:rsidP="00B119DC">
            <w:pPr>
              <w:pStyle w:val="Body"/>
              <w:spacing w:after="0" w:line="240" w:lineRule="auto"/>
              <w:jc w:val="left"/>
              <w:rPr>
                <w:color w:val="000000"/>
                <w:sz w:val="16"/>
              </w:rPr>
            </w:pPr>
            <w:r w:rsidRPr="00B119DC">
              <w:rPr>
                <w:color w:val="000000"/>
                <w:sz w:val="16"/>
              </w:rPr>
              <w:t>New-onset heart failure</w:t>
            </w:r>
          </w:p>
        </w:tc>
        <w:tc>
          <w:tcPr>
            <w:tcW w:w="426"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6</w:t>
            </w:r>
          </w:p>
        </w:tc>
        <w:tc>
          <w:tcPr>
            <w:tcW w:w="156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6.9%</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3013" w:type="pct"/>
            <w:tcBorders>
              <w:bottom w:val="single" w:sz="4" w:space="0" w:color="000000"/>
            </w:tcBorders>
            <w:hideMark/>
          </w:tcPr>
          <w:p w:rsidR="003D5D96" w:rsidRPr="00B119DC" w:rsidRDefault="003D5D96" w:rsidP="00B119DC">
            <w:pPr>
              <w:pStyle w:val="Body"/>
              <w:spacing w:after="0" w:line="240" w:lineRule="auto"/>
              <w:jc w:val="left"/>
              <w:rPr>
                <w:color w:val="000000"/>
                <w:sz w:val="16"/>
              </w:rPr>
            </w:pPr>
            <w:r w:rsidRPr="00B119DC">
              <w:rPr>
                <w:color w:val="000000"/>
                <w:sz w:val="16"/>
              </w:rPr>
              <w:t>Arrhythmia</w:t>
            </w:r>
          </w:p>
        </w:tc>
        <w:tc>
          <w:tcPr>
            <w:tcW w:w="426"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w:t>
            </w:r>
          </w:p>
        </w:tc>
        <w:tc>
          <w:tcPr>
            <w:tcW w:w="1561"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1.1%</w:t>
            </w:r>
          </w:p>
        </w:tc>
      </w:tr>
    </w:tbl>
    <w:p w:rsidR="003D5D96" w:rsidRPr="00B119DC" w:rsidRDefault="003D5D96" w:rsidP="00B119DC">
      <w:pPr>
        <w:pStyle w:val="Body"/>
      </w:pPr>
      <w:r w:rsidRPr="00B119DC">
        <w:t xml:space="preserve">Inferential analysis demonstrated that several clinical variables were significantly associated with poor clinical outcome. Any in-hospital medical complication showed a strong association with poor outcome, with a relative risk (RR) of 3.85 (95% CI: 1.95–7.60; p &lt; 0.001). Pneumonia during admission was also significantly associated with poor clinical outcome (RR 3.42, 95% CI: 1.76–6.65; p &lt; 0.001). Cardiac events during hospitalization demonstrated the strongest association with poor outcome, with a relative risk of 4.90 (95% CI: 2.10–11.45; p &lt; 0.001). Higher </w:t>
      </w:r>
      <w:proofErr w:type="spellStart"/>
      <w:r w:rsidRPr="00B119DC">
        <w:t>Charlson</w:t>
      </w:r>
      <w:proofErr w:type="spellEnd"/>
      <w:r w:rsidRPr="00B119DC">
        <w:t xml:space="preserve"> Comorbidity Index (≥2) significantly increased the risk of poor outcome (RR 1.88, 95% CI: 1.08–3.27; p = 0.026). Diabetes mellitus was also associated with poor clinical outcome (RR 1.67, 95% CI: 1.01–2.76; p = 0.046). Chronic kidney disease demonstrated a trend toward increased risk but did not reach statistical significance (RR 1.58, 95% CI: 0.94–2.65; p = 0.083). </w:t>
      </w:r>
      <w:proofErr w:type="spellStart"/>
      <w:r w:rsidRPr="00B119DC">
        <w:t>Polypharmacy</w:t>
      </w:r>
      <w:proofErr w:type="spellEnd"/>
      <w:r w:rsidRPr="00B119DC">
        <w:t xml:space="preserve"> and COPD were not significantly associated with poor clinical outcome (Table 4). </w:t>
      </w:r>
    </w:p>
    <w:p w:rsidR="003D5D96" w:rsidRPr="00B119DC" w:rsidRDefault="003D5D96" w:rsidP="00B119DC">
      <w:pPr>
        <w:pStyle w:val="Caption"/>
      </w:pPr>
      <w:r w:rsidRPr="00B119DC">
        <w:t xml:space="preserve">Table 4. Predictors of Poor Clinical Outcome </w:t>
      </w:r>
      <w:proofErr w:type="gramStart"/>
      <w:r w:rsidRPr="00B119DC">
        <w:t>Among</w:t>
      </w:r>
      <w:proofErr w:type="gramEnd"/>
      <w:r w:rsidRPr="00B119DC">
        <w:t xml:space="preserve"> Stroke Patients</w:t>
      </w: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417"/>
        <w:gridCol w:w="1354"/>
        <w:gridCol w:w="979"/>
        <w:gridCol w:w="830"/>
        <w:gridCol w:w="2934"/>
      </w:tblGrid>
      <w:tr w:rsidR="00B119DC" w:rsidRPr="00B119DC" w:rsidTr="00B11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rPr>
                <w:color w:val="000000"/>
                <w:sz w:val="16"/>
              </w:rPr>
            </w:pPr>
            <w:r w:rsidRPr="00B119DC">
              <w:rPr>
                <w:color w:val="000000"/>
                <w:sz w:val="16"/>
              </w:rPr>
              <w:t>Predictor</w:t>
            </w:r>
          </w:p>
        </w:tc>
        <w:tc>
          <w:tcPr>
            <w:tcW w:w="231"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n</w:t>
            </w:r>
          </w:p>
        </w:tc>
        <w:tc>
          <w:tcPr>
            <w:tcW w:w="750"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Effect Measure</w:t>
            </w:r>
          </w:p>
        </w:tc>
        <w:tc>
          <w:tcPr>
            <w:tcW w:w="542"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95% CI</w:t>
            </w:r>
          </w:p>
        </w:tc>
        <w:tc>
          <w:tcPr>
            <w:tcW w:w="460"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p-value</w:t>
            </w:r>
          </w:p>
        </w:tc>
        <w:tc>
          <w:tcPr>
            <w:tcW w:w="1625" w:type="pct"/>
            <w:tcBorders>
              <w:top w:val="single" w:sz="4" w:space="0" w:color="000000"/>
              <w:bottom w:val="single" w:sz="4" w:space="0" w:color="000000"/>
            </w:tcBorders>
            <w:shd w:val="clear" w:color="auto" w:fill="auto"/>
            <w:hideMark/>
          </w:tcPr>
          <w:p w:rsidR="003D5D96" w:rsidRPr="00B119DC" w:rsidRDefault="003D5D96" w:rsidP="00B119DC">
            <w:pPr>
              <w:pStyle w:val="Body"/>
              <w:spacing w:after="0" w:line="240" w:lineRule="auto"/>
              <w:jc w:val="left"/>
              <w:cnfStyle w:val="100000000000" w:firstRow="1" w:lastRow="0" w:firstColumn="0" w:lastColumn="0" w:oddVBand="0" w:evenVBand="0" w:oddHBand="0" w:evenHBand="0" w:firstRowFirstColumn="0" w:firstRowLastColumn="0" w:lastRowFirstColumn="0" w:lastRowLastColumn="0"/>
              <w:rPr>
                <w:color w:val="000000"/>
                <w:sz w:val="16"/>
              </w:rPr>
            </w:pPr>
            <w:r w:rsidRPr="00B119DC">
              <w:rPr>
                <w:color w:val="000000"/>
                <w:sz w:val="16"/>
              </w:rPr>
              <w:t>Interpretation</w:t>
            </w:r>
          </w:p>
        </w:tc>
      </w:tr>
      <w:tr w:rsidR="00B119DC"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sz="4" w:space="0" w:color="000000"/>
            </w:tcBorders>
            <w:hideMark/>
          </w:tcPr>
          <w:p w:rsidR="003D5D96" w:rsidRPr="00B119DC" w:rsidRDefault="003D5D96" w:rsidP="00B119DC">
            <w:pPr>
              <w:pStyle w:val="Body"/>
              <w:spacing w:after="0" w:line="240" w:lineRule="auto"/>
              <w:jc w:val="left"/>
              <w:rPr>
                <w:color w:val="000000"/>
                <w:sz w:val="16"/>
              </w:rPr>
            </w:pPr>
            <w:r w:rsidRPr="00B119DC">
              <w:rPr>
                <w:color w:val="000000"/>
                <w:sz w:val="16"/>
              </w:rPr>
              <w:t>Any medical complication</w:t>
            </w:r>
          </w:p>
        </w:tc>
        <w:tc>
          <w:tcPr>
            <w:tcW w:w="231"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44</w:t>
            </w:r>
          </w:p>
        </w:tc>
        <w:tc>
          <w:tcPr>
            <w:tcW w:w="750"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RR 3.85</w:t>
            </w:r>
          </w:p>
        </w:tc>
        <w:tc>
          <w:tcPr>
            <w:tcW w:w="542"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1.95–7.60</w:t>
            </w:r>
          </w:p>
        </w:tc>
        <w:tc>
          <w:tcPr>
            <w:tcW w:w="460"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&lt;0.001</w:t>
            </w:r>
          </w:p>
        </w:tc>
        <w:tc>
          <w:tcPr>
            <w:tcW w:w="1625" w:type="pct"/>
            <w:tcBorders>
              <w:top w:val="single" w:sz="4" w:space="0" w:color="000000"/>
            </w:tcBorders>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Strong predictor of poor outcome</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r w:rsidRPr="00B119DC">
              <w:rPr>
                <w:color w:val="000000"/>
                <w:sz w:val="16"/>
              </w:rPr>
              <w:t>Pneumonia</w:t>
            </w:r>
          </w:p>
        </w:tc>
        <w:tc>
          <w:tcPr>
            <w:tcW w:w="23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37</w:t>
            </w:r>
          </w:p>
        </w:tc>
        <w:tc>
          <w:tcPr>
            <w:tcW w:w="75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RR 3.42</w:t>
            </w:r>
          </w:p>
        </w:tc>
        <w:tc>
          <w:tcPr>
            <w:tcW w:w="542"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1.76–6.65</w:t>
            </w:r>
          </w:p>
        </w:tc>
        <w:tc>
          <w:tcPr>
            <w:tcW w:w="46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&lt;0.001</w:t>
            </w:r>
          </w:p>
        </w:tc>
        <w:tc>
          <w:tcPr>
            <w:tcW w:w="1625"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Significantly increased risk</w:t>
            </w:r>
          </w:p>
        </w:tc>
      </w:tr>
      <w:tr w:rsidR="00B119DC"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r w:rsidRPr="00B119DC">
              <w:rPr>
                <w:color w:val="000000"/>
                <w:sz w:val="16"/>
              </w:rPr>
              <w:t>Cardiac event</w:t>
            </w:r>
          </w:p>
        </w:tc>
        <w:tc>
          <w:tcPr>
            <w:tcW w:w="23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11</w:t>
            </w:r>
          </w:p>
        </w:tc>
        <w:tc>
          <w:tcPr>
            <w:tcW w:w="75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RR 4.90</w:t>
            </w:r>
          </w:p>
        </w:tc>
        <w:tc>
          <w:tcPr>
            <w:tcW w:w="542"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2.10–11.45</w:t>
            </w:r>
          </w:p>
        </w:tc>
        <w:tc>
          <w:tcPr>
            <w:tcW w:w="46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&lt;0.001</w:t>
            </w:r>
          </w:p>
        </w:tc>
        <w:tc>
          <w:tcPr>
            <w:tcW w:w="1625"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Strongest clinical predictor</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proofErr w:type="spellStart"/>
            <w:r w:rsidRPr="00B119DC">
              <w:rPr>
                <w:color w:val="000000"/>
                <w:sz w:val="16"/>
              </w:rPr>
              <w:t>Charlson</w:t>
            </w:r>
            <w:proofErr w:type="spellEnd"/>
            <w:r w:rsidRPr="00B119DC">
              <w:rPr>
                <w:color w:val="000000"/>
                <w:sz w:val="16"/>
              </w:rPr>
              <w:t xml:space="preserve"> Comorbidity Index ≥2</w:t>
            </w:r>
          </w:p>
        </w:tc>
        <w:tc>
          <w:tcPr>
            <w:tcW w:w="23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28</w:t>
            </w:r>
          </w:p>
        </w:tc>
        <w:tc>
          <w:tcPr>
            <w:tcW w:w="75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RR 1.88</w:t>
            </w:r>
          </w:p>
        </w:tc>
        <w:tc>
          <w:tcPr>
            <w:tcW w:w="542"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1.08–3.27</w:t>
            </w:r>
          </w:p>
        </w:tc>
        <w:tc>
          <w:tcPr>
            <w:tcW w:w="46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0.026</w:t>
            </w:r>
          </w:p>
        </w:tc>
        <w:tc>
          <w:tcPr>
            <w:tcW w:w="1625"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Higher comorbidity burden increased risk</w:t>
            </w:r>
          </w:p>
        </w:tc>
      </w:tr>
      <w:tr w:rsidR="00B119DC"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proofErr w:type="spellStart"/>
            <w:r w:rsidRPr="00B119DC">
              <w:rPr>
                <w:color w:val="000000"/>
                <w:sz w:val="16"/>
              </w:rPr>
              <w:t>Polypharmacy</w:t>
            </w:r>
            <w:proofErr w:type="spellEnd"/>
          </w:p>
        </w:tc>
        <w:tc>
          <w:tcPr>
            <w:tcW w:w="23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39</w:t>
            </w:r>
          </w:p>
        </w:tc>
        <w:tc>
          <w:tcPr>
            <w:tcW w:w="75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RR 1.21</w:t>
            </w:r>
          </w:p>
        </w:tc>
        <w:tc>
          <w:tcPr>
            <w:tcW w:w="542"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0.70–2.10</w:t>
            </w:r>
          </w:p>
        </w:tc>
        <w:tc>
          <w:tcPr>
            <w:tcW w:w="46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0.492</w:t>
            </w:r>
          </w:p>
        </w:tc>
        <w:tc>
          <w:tcPr>
            <w:tcW w:w="1625"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Not statistically significant</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r w:rsidRPr="00B119DC">
              <w:rPr>
                <w:color w:val="000000"/>
                <w:sz w:val="16"/>
              </w:rPr>
              <w:t>Diabetes mellitus</w:t>
            </w:r>
          </w:p>
        </w:tc>
        <w:tc>
          <w:tcPr>
            <w:tcW w:w="231"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27</w:t>
            </w:r>
          </w:p>
        </w:tc>
        <w:tc>
          <w:tcPr>
            <w:tcW w:w="75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RR 1.67</w:t>
            </w:r>
          </w:p>
        </w:tc>
        <w:tc>
          <w:tcPr>
            <w:tcW w:w="542"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1.01–2.76</w:t>
            </w:r>
          </w:p>
        </w:tc>
        <w:tc>
          <w:tcPr>
            <w:tcW w:w="460"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0.046</w:t>
            </w:r>
          </w:p>
        </w:tc>
        <w:tc>
          <w:tcPr>
            <w:tcW w:w="1625" w:type="pct"/>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Associated with poor outcome</w:t>
            </w:r>
          </w:p>
        </w:tc>
      </w:tr>
      <w:tr w:rsidR="00B119DC" w:rsidRPr="00B119DC" w:rsidTr="00B1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rsidR="003D5D96" w:rsidRPr="00B119DC" w:rsidRDefault="003D5D96" w:rsidP="00B119DC">
            <w:pPr>
              <w:pStyle w:val="Body"/>
              <w:spacing w:after="0" w:line="240" w:lineRule="auto"/>
              <w:jc w:val="left"/>
              <w:rPr>
                <w:color w:val="000000"/>
                <w:sz w:val="16"/>
              </w:rPr>
            </w:pPr>
            <w:r w:rsidRPr="00B119DC">
              <w:rPr>
                <w:color w:val="000000"/>
                <w:sz w:val="16"/>
              </w:rPr>
              <w:t>Chronic kidney disease</w:t>
            </w:r>
          </w:p>
        </w:tc>
        <w:tc>
          <w:tcPr>
            <w:tcW w:w="231"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35</w:t>
            </w:r>
          </w:p>
        </w:tc>
        <w:tc>
          <w:tcPr>
            <w:tcW w:w="75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RR 1.58</w:t>
            </w:r>
          </w:p>
        </w:tc>
        <w:tc>
          <w:tcPr>
            <w:tcW w:w="542"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0.94–2.65</w:t>
            </w:r>
          </w:p>
        </w:tc>
        <w:tc>
          <w:tcPr>
            <w:tcW w:w="460"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0.083</w:t>
            </w:r>
          </w:p>
        </w:tc>
        <w:tc>
          <w:tcPr>
            <w:tcW w:w="1625" w:type="pct"/>
            <w:hideMark/>
          </w:tcPr>
          <w:p w:rsidR="003D5D96" w:rsidRPr="00B119DC" w:rsidRDefault="003D5D96" w:rsidP="00B119DC">
            <w:pPr>
              <w:pStyle w:val="Body"/>
              <w:spacing w:after="0" w:line="240" w:lineRule="auto"/>
              <w:jc w:val="left"/>
              <w:cnfStyle w:val="000000100000" w:firstRow="0" w:lastRow="0" w:firstColumn="0" w:lastColumn="0" w:oddVBand="0" w:evenVBand="0" w:oddHBand="1" w:evenHBand="0" w:firstRowFirstColumn="0" w:firstRowLastColumn="0" w:lastRowFirstColumn="0" w:lastRowLastColumn="0"/>
              <w:rPr>
                <w:color w:val="000000"/>
                <w:sz w:val="16"/>
              </w:rPr>
            </w:pPr>
            <w:r w:rsidRPr="00B119DC">
              <w:rPr>
                <w:color w:val="000000"/>
                <w:sz w:val="16"/>
              </w:rPr>
              <w:t>Trend toward increased risk</w:t>
            </w:r>
          </w:p>
        </w:tc>
      </w:tr>
      <w:tr w:rsidR="003D5D96" w:rsidRPr="00B119DC" w:rsidTr="00B119DC">
        <w:tc>
          <w:tcPr>
            <w:cnfStyle w:val="001000000000" w:firstRow="0" w:lastRow="0" w:firstColumn="1" w:lastColumn="0" w:oddVBand="0" w:evenVBand="0" w:oddHBand="0" w:evenHBand="0" w:firstRowFirstColumn="0" w:firstRowLastColumn="0" w:lastRowFirstColumn="0" w:lastRowLastColumn="0"/>
            <w:tcW w:w="1392" w:type="pct"/>
            <w:tcBorders>
              <w:bottom w:val="single" w:sz="4" w:space="0" w:color="000000"/>
            </w:tcBorders>
            <w:hideMark/>
          </w:tcPr>
          <w:p w:rsidR="003D5D96" w:rsidRPr="00B119DC" w:rsidRDefault="003D5D96" w:rsidP="00B119DC">
            <w:pPr>
              <w:pStyle w:val="Body"/>
              <w:spacing w:after="0" w:line="240" w:lineRule="auto"/>
              <w:jc w:val="left"/>
              <w:rPr>
                <w:color w:val="000000"/>
                <w:sz w:val="16"/>
              </w:rPr>
            </w:pPr>
            <w:r w:rsidRPr="00B119DC">
              <w:rPr>
                <w:color w:val="000000"/>
                <w:sz w:val="16"/>
              </w:rPr>
              <w:t>COPD</w:t>
            </w:r>
          </w:p>
        </w:tc>
        <w:tc>
          <w:tcPr>
            <w:tcW w:w="231"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13</w:t>
            </w:r>
          </w:p>
        </w:tc>
        <w:tc>
          <w:tcPr>
            <w:tcW w:w="750"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RR 1.44</w:t>
            </w:r>
          </w:p>
        </w:tc>
        <w:tc>
          <w:tcPr>
            <w:tcW w:w="542"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0.78–2.66</w:t>
            </w:r>
          </w:p>
        </w:tc>
        <w:tc>
          <w:tcPr>
            <w:tcW w:w="460"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0.241</w:t>
            </w:r>
          </w:p>
        </w:tc>
        <w:tc>
          <w:tcPr>
            <w:tcW w:w="1625" w:type="pct"/>
            <w:tcBorders>
              <w:bottom w:val="single" w:sz="4" w:space="0" w:color="000000"/>
            </w:tcBorders>
            <w:hideMark/>
          </w:tcPr>
          <w:p w:rsidR="003D5D96" w:rsidRPr="00B119DC" w:rsidRDefault="003D5D96" w:rsidP="00B119DC">
            <w:pPr>
              <w:pStyle w:val="Body"/>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sz w:val="16"/>
              </w:rPr>
            </w:pPr>
            <w:r w:rsidRPr="00B119DC">
              <w:rPr>
                <w:color w:val="000000"/>
                <w:sz w:val="16"/>
              </w:rPr>
              <w:t>Not statistically significant</w:t>
            </w:r>
          </w:p>
        </w:tc>
      </w:tr>
    </w:tbl>
    <w:p w:rsidR="003D5D96" w:rsidRPr="00B119DC" w:rsidRDefault="003D5D96" w:rsidP="00B119DC">
      <w:pPr>
        <w:pStyle w:val="Body"/>
      </w:pPr>
    </w:p>
    <w:p w:rsidR="003D5D96" w:rsidRPr="00B119DC" w:rsidRDefault="003D5D96" w:rsidP="00B119DC">
      <w:pPr>
        <w:pStyle w:val="Body"/>
      </w:pPr>
      <w:r w:rsidRPr="00B119DC">
        <w:t xml:space="preserve">The study cohort demonstrated a substantial burden of advanced age and </w:t>
      </w:r>
      <w:proofErr w:type="spellStart"/>
      <w:r w:rsidRPr="00B119DC">
        <w:t>multimorbidity</w:t>
      </w:r>
      <w:proofErr w:type="spellEnd"/>
      <w:r w:rsidRPr="00B119DC">
        <w:t xml:space="preserve">. The mean age of participants was 72.8 ± 11.6 years, with females comprising a slightly greater proportion of the cohort (55.2%) compared with males (44.8%). Ischemic stroke represented the overwhelming majority of stroke presentations (92.0%), while hemorrhagic stroke accounted for only 8.0%. Patients had a median of 4 comorbidities (IQR 3.0–6.0), indicating a clinically complex population. Furthermore, nearly one-third of patients (32.2%) had a </w:t>
      </w:r>
      <w:proofErr w:type="spellStart"/>
      <w:r w:rsidRPr="00B119DC">
        <w:t>Charlson</w:t>
      </w:r>
      <w:proofErr w:type="spellEnd"/>
      <w:r w:rsidRPr="00B119DC">
        <w:t xml:space="preserve"> Comorbidity Index ≥2, and 44.8% were receiving </w:t>
      </w:r>
      <w:proofErr w:type="spellStart"/>
      <w:r w:rsidRPr="00B119DC">
        <w:t>polypharmacy</w:t>
      </w:r>
      <w:proofErr w:type="spellEnd"/>
      <w:r w:rsidRPr="00B119DC">
        <w:t xml:space="preserve">, reflecting a high baseline disease burden and medication exposure (Table 1). </w:t>
      </w:r>
    </w:p>
    <w:p w:rsidR="003D5D96" w:rsidRPr="00B119DC" w:rsidRDefault="003D5D96" w:rsidP="00B119DC">
      <w:pPr>
        <w:pStyle w:val="Body"/>
      </w:pPr>
      <w:r w:rsidRPr="00B119DC">
        <w:t xml:space="preserve">Hypertension was the dominant vascular risk factor, affecting more than four-fifths of the study population (80.5%), followed by chronic kidney disease (40.2%) and diabetes mellitus (31.0%). Cardiovascular comorbidities were also common, including ischemic heart disease (18.4%), heart failure (10.3%), and atrial fibrillation (9.2%). Respiratory and neuropsychiatric conditions were additionally represented, with COPD affecting 14.9%, while mood disorders and cognitive impairment each occurred in 11.5% of patients. Importantly, almost half of the cohort developed pneumonia during hospitalization (42.5%), and more than half experienced at least one in-hospital medical complication (50.6%), emphasizing the high frequency of secondary complications among hospitalized stroke patients in this tertiary-care setting (Table 2). </w:t>
      </w:r>
    </w:p>
    <w:p w:rsidR="003D5D96" w:rsidRPr="00B119DC" w:rsidRDefault="003D5D96" w:rsidP="00B119DC">
      <w:pPr>
        <w:pStyle w:val="Body"/>
      </w:pPr>
      <w:r w:rsidRPr="00B119DC">
        <w:t xml:space="preserve">Clinical outcomes revealed a considerable burden of adverse events during hospitalization. Poor clinical outcome was documented in more than one-third of patients (35.6%), while in-hospital mortality occurred in 10.3%. A favorable discharge disposition was achieved in 59.8% of cases, and the mean hospital stay was 8.7 ± 5.0 days. Cardiac complications occurred in 12.6% of patients during admission, with acute coronary syndrome being the most common cardiac event (11.5%), followed by new-onset heart failure (6.9%) and arrhythmia (1.1%). These findings highlight the important contribution of systemic and cardiovascular complications to post-stroke morbidity and hospital resource utilization (Table 3). </w:t>
      </w:r>
    </w:p>
    <w:p w:rsidR="003D5D96" w:rsidRPr="00B119DC" w:rsidRDefault="003D5D96" w:rsidP="00B119DC">
      <w:pPr>
        <w:pStyle w:val="Body"/>
      </w:pPr>
      <w:r w:rsidRPr="00B119DC">
        <w:t xml:space="preserve">Inferential analysis demonstrated that in-hospital complications were strongly associated with poor clinical outcomes. Patients who developed any medical complication had nearly a fourfold increased risk of poor outcome (RR 3.85, 95% CI 1.95–7.60, p &lt; 0.001). Similarly, pneumonia during admission was associated with more than a threefold increased risk of adverse outcome (RR 3.42, 95% CI 1.76–6.65, p &lt; 0.001). Cardiac events emerged as the strongest predictor, conferring an almost fivefold increased risk of poor clinical outcome (RR 4.90, 95% CI 2.10–11.45, p &lt; 0.001). Higher comorbidity burden, represented by </w:t>
      </w:r>
      <w:proofErr w:type="spellStart"/>
      <w:r w:rsidRPr="00B119DC">
        <w:t>Charlson</w:t>
      </w:r>
      <w:proofErr w:type="spellEnd"/>
      <w:r w:rsidRPr="00B119DC">
        <w:t xml:space="preserve"> Comorbidity Index ≥2, was also </w:t>
      </w:r>
      <w:r w:rsidRPr="00B119DC">
        <w:lastRenderedPageBreak/>
        <w:t xml:space="preserve">significantly associated with poor outcome (RR 1.88, 95% CI 1.08–3.27, p = 0.026). Diabetes mellitus independently increased the risk of poor outcome by approximately 67% (RR 1.67, 95% CI 1.01–2.76, p = 0.046). Although chronic kidney disease showed a trend toward increased risk (RR 1.58, 95% CI 0.94–2.65, p = 0.083), the association did not reach statistical significance. </w:t>
      </w:r>
      <w:proofErr w:type="spellStart"/>
      <w:r w:rsidRPr="00B119DC">
        <w:t>Polypharmacy</w:t>
      </w:r>
      <w:proofErr w:type="spellEnd"/>
      <w:r w:rsidRPr="00B119DC">
        <w:t xml:space="preserve"> and COPD were likewise not significantly associated with poor clinical outcome, with p-values of 0.492 and 0.241, respectively (Table 4). These findings suggest that acute in-hospital complications may exert a greater impact on short-term stroke outcomes than baseline medication burden alone. </w:t>
      </w:r>
    </w:p>
    <w:p w:rsidR="003D5D96" w:rsidRPr="00B119DC" w:rsidRDefault="00325E1F" w:rsidP="00325E1F">
      <w:pPr>
        <w:pStyle w:val="Body"/>
        <w:jc w:val="center"/>
      </w:pPr>
      <w:r>
        <w:rPr>
          <w:noProof/>
        </w:rPr>
        <w:drawing>
          <wp:inline distT="0" distB="0" distL="0" distR="0">
            <wp:extent cx="4572000" cy="279172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3, 2026, 01_03_5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91721"/>
                    </a:xfrm>
                    <a:prstGeom prst="rect">
                      <a:avLst/>
                    </a:prstGeom>
                  </pic:spPr>
                </pic:pic>
              </a:graphicData>
            </a:graphic>
          </wp:inline>
        </w:drawing>
      </w:r>
    </w:p>
    <w:p w:rsidR="003D5D96" w:rsidRPr="00B119DC" w:rsidRDefault="003D5D96" w:rsidP="00B119DC">
      <w:pPr>
        <w:pStyle w:val="Caption"/>
      </w:pPr>
      <w:r w:rsidRPr="00B119DC">
        <w:t xml:space="preserve">Figure 1. Relative Risk Gradient of Poor Clinical Outcome </w:t>
      </w:r>
      <w:proofErr w:type="gramStart"/>
      <w:r w:rsidRPr="00B119DC">
        <w:t>Across</w:t>
      </w:r>
      <w:proofErr w:type="gramEnd"/>
      <w:r w:rsidRPr="00B119DC">
        <w:t xml:space="preserve"> Major Clinical Predictors in Hospitalized Stroke Patients</w:t>
      </w:r>
    </w:p>
    <w:p w:rsidR="003D5D96" w:rsidRPr="00B119DC" w:rsidRDefault="003D5D96" w:rsidP="00B119DC">
      <w:pPr>
        <w:pStyle w:val="Body"/>
      </w:pPr>
      <w:r w:rsidRPr="00B119DC">
        <w:t xml:space="preserve">A layered comparative visualization demonstrated marked variation in the magnitude and precision of associations between clinical predictors and poor stroke outcomes. Cardiac events exhibited the highest relative risk for poor clinical outcome (RR 4.90, 95% CI 2.10–11.45), followed by any in-hospital medical complication (RR 3.85, 95% CI 1.95–7.60) and pneumonia during admission (RR 3.42, 95% CI 1.76–6.65). In contrast, </w:t>
      </w:r>
      <w:proofErr w:type="spellStart"/>
      <w:r w:rsidRPr="00B119DC">
        <w:t>Charlson</w:t>
      </w:r>
      <w:proofErr w:type="spellEnd"/>
      <w:r w:rsidRPr="00B119DC">
        <w:t xml:space="preserve"> Comorbidity Index ≥2 showed a more moderate but statistically significant association (RR 1.88, 95% CI 1.08–3.27), while diabetes mellitus demonstrated a smaller yet clinically relevant increase in risk (RR 1.67, 95% CI 1.01–2.76). Chronic kidney disease and COPD displayed broader confidence intervals crossing unity, indicating greater uncertainty and lack of statistical significance. The visualization highlights a clinically important gradient in which acute in-hospital complications exerted substantially stronger effects on adverse outcomes than baseline chronic comorbidity burden alone, suggesting that early prevention and aggressive management of post-stroke complications may provide greater short-term prognostic benefit in tertiary-care stroke populations. </w:t>
      </w:r>
    </w:p>
    <w:p w:rsidR="00BB3BA0" w:rsidRPr="00B119DC" w:rsidRDefault="00BB3BA0" w:rsidP="00B119DC">
      <w:pPr>
        <w:pStyle w:val="Heading1"/>
      </w:pPr>
      <w:r w:rsidRPr="00B119DC">
        <w:t>Discussion</w:t>
      </w:r>
    </w:p>
    <w:p w:rsidR="003D5D96" w:rsidRPr="00B119DC" w:rsidRDefault="003D5D96" w:rsidP="00B119DC">
      <w:pPr>
        <w:pStyle w:val="Body"/>
      </w:pPr>
      <w:r w:rsidRPr="00B119DC">
        <w:t xml:space="preserve">This prospective cohort study evaluated the impact of baseline medical comorbidities and in-hospital complications on clinical outcomes among hospitalized stroke patients at a tertiary care center in Pakistan. The findings demonstrated a substantial burden of </w:t>
      </w:r>
      <w:proofErr w:type="spellStart"/>
      <w:r w:rsidRPr="00B119DC">
        <w:t>multimorbidity</w:t>
      </w:r>
      <w:proofErr w:type="spellEnd"/>
      <w:r w:rsidRPr="00B119DC">
        <w:t>, acute medical complications, and adverse short-term outcomes in an elderly stroke population. More importantly, acute in-hospital complications, particularly cardiac events and pneumonia, showed markedly stronger associations with poor clinical outcome than several baseline chronic comorbidities. These findings highlight the clinical importance of early complication recognition and multidisciplinary management in hospitalized stroke patients.</w:t>
      </w:r>
    </w:p>
    <w:p w:rsidR="003D5D96" w:rsidRPr="00B119DC" w:rsidRDefault="003D5D96" w:rsidP="00B119DC">
      <w:pPr>
        <w:pStyle w:val="Body"/>
      </w:pPr>
      <w:r w:rsidRPr="00B119DC">
        <w:t>The study population represented a clinically vulnerable cohort with advanced age and a high burden of vascular and systemic disease. The mean age of participants was 72.8 ± 11.6 years, and patients had a median of four comorbidities, reflecting the complex medical profile commonly observed in stroke populations globally. Hypertension was the most prevalent comorbidity, affecting 80.5% of patients, followed by chronic kidney disease and diabetes mellitus. These findings are consistent with previous literature demonstrating that hypertension, diabetes, cardiovascular disease, and renal dysfunction are among the most common coexisting conditions in stroke survivors and contribute substantially to post-stroke disability and mortality (1</w:t>
      </w:r>
      <w:proofErr w:type="gramStart"/>
      <w:r w:rsidRPr="00B119DC">
        <w:t>,2</w:t>
      </w:r>
      <w:proofErr w:type="gramEnd"/>
      <w:r w:rsidRPr="00B119DC">
        <w:t xml:space="preserve">). Similar studies have </w:t>
      </w:r>
      <w:r w:rsidRPr="00B119DC">
        <w:lastRenderedPageBreak/>
        <w:t>shown that increasing comorbidity burden adversely affects neurological recovery, prolongs hospitalization, increases healthcare utilization, and reduces functional independence after stroke (3</w:t>
      </w:r>
      <w:proofErr w:type="gramStart"/>
      <w:r w:rsidRPr="00B119DC">
        <w:t>,4</w:t>
      </w:r>
      <w:proofErr w:type="gramEnd"/>
      <w:r w:rsidRPr="00B119DC">
        <w:t>).</w:t>
      </w:r>
    </w:p>
    <w:p w:rsidR="003D5D96" w:rsidRPr="00B119DC" w:rsidRDefault="003D5D96" w:rsidP="00B119DC">
      <w:pPr>
        <w:pStyle w:val="Body"/>
      </w:pPr>
      <w:r w:rsidRPr="00B119DC">
        <w:t xml:space="preserve">A major finding of the present study was the high prevalence of in-hospital complications. More than half of patients developed at least one medical complication during admission, while pneumonia occurred in 42.5% of patients. Pneumonia was strongly associated with poor clinical outcome, increasing risk more than threefold. Post-stroke pneumonia is a well-recognized complication associated with impaired swallowing, reduced mobility, altered consciousness, immune </w:t>
      </w:r>
      <w:proofErr w:type="spellStart"/>
      <w:r w:rsidRPr="00B119DC">
        <w:t>dysregulation</w:t>
      </w:r>
      <w:proofErr w:type="spellEnd"/>
      <w:r w:rsidRPr="00B119DC">
        <w:t>, and prolonged hospitalization (5,6). The observed association supports previous evidence suggesting that pneumonia is among the most important preventable causes of early neurological deterioration and mortality after acute stroke (7). These findings emphasize the importance of early dysphagia screening, aspiration precautions, pulmonary hygiene, early mobilization, and standardized infection-prevention protocols in tertiary-care stroke units.</w:t>
      </w:r>
    </w:p>
    <w:p w:rsidR="003D5D96" w:rsidRPr="00B119DC" w:rsidRDefault="003D5D96" w:rsidP="00B119DC">
      <w:pPr>
        <w:pStyle w:val="Body"/>
      </w:pPr>
      <w:r w:rsidRPr="00B119DC">
        <w:t xml:space="preserve">Cardiac events emerged as the strongest predictor of poor clinical outcome, with a relative risk of 4.90. This observation is clinically important because stroke-related cardiac dysfunction is increasingly recognized as part of the “stroke-heart syndrome,” in which acute neurological injury triggers autonomic </w:t>
      </w:r>
      <w:proofErr w:type="spellStart"/>
      <w:r w:rsidRPr="00B119DC">
        <w:t>dysregulation</w:t>
      </w:r>
      <w:proofErr w:type="spellEnd"/>
      <w:r w:rsidRPr="00B119DC">
        <w:t xml:space="preserve">, inflammatory activation, myocardial injury, </w:t>
      </w:r>
      <w:proofErr w:type="spellStart"/>
      <w:r w:rsidRPr="00B119DC">
        <w:t>arrhythmogenesis</w:t>
      </w:r>
      <w:proofErr w:type="spellEnd"/>
      <w:r w:rsidRPr="00B119DC">
        <w:t>, and heart failure (8). In the present study, acute coronary syndrome and new-onset heart failure represented the most common cardiac complications during hospitalization. Previous investigations have similarly demonstrated that cardiac complications after stroke significantly increase mortality risk, worsen functional outcomes, and prolong hospital stay (9</w:t>
      </w:r>
      <w:proofErr w:type="gramStart"/>
      <w:r w:rsidRPr="00B119DC">
        <w:t>,10</w:t>
      </w:r>
      <w:proofErr w:type="gramEnd"/>
      <w:r w:rsidRPr="00B119DC">
        <w:t>). The strong association observed in this cohort suggests that continuous cardiac monitoring and early cardiovascular evaluation may play a critical role in improving stroke outcomes in high-risk patients.</w:t>
      </w:r>
    </w:p>
    <w:p w:rsidR="003D5D96" w:rsidRPr="00B119DC" w:rsidRDefault="003D5D96" w:rsidP="00B119DC">
      <w:pPr>
        <w:pStyle w:val="Body"/>
      </w:pPr>
      <w:r w:rsidRPr="00B119DC">
        <w:t xml:space="preserve">Higher </w:t>
      </w:r>
      <w:proofErr w:type="spellStart"/>
      <w:r w:rsidRPr="00B119DC">
        <w:t>Charlson</w:t>
      </w:r>
      <w:proofErr w:type="spellEnd"/>
      <w:r w:rsidRPr="00B119DC">
        <w:t xml:space="preserve"> Comorbidity Index was also significantly associated with adverse clinical outcome. Patients with </w:t>
      </w:r>
      <w:r w:rsidRPr="00B119DC">
        <w:rPr>
          <w:rFonts w:ascii="Times New Roman" w:hAnsi="Times New Roman" w:cs="Times New Roman"/>
        </w:rPr>
        <w:t>CCI ≥2 had nearly twice the risk of poor outcome compared with patients with lower</w:t>
      </w:r>
      <w:r w:rsidRPr="00B119DC">
        <w:t xml:space="preserve"> comorbidity burden. This finding aligns with prior studies reporting that </w:t>
      </w:r>
      <w:proofErr w:type="spellStart"/>
      <w:r w:rsidRPr="00B119DC">
        <w:t>multimorbidity</w:t>
      </w:r>
      <w:proofErr w:type="spellEnd"/>
      <w:r w:rsidRPr="00B119DC">
        <w:t xml:space="preserve"> negatively affects stroke recovery through reduced physiological reserve, impaired rehabilitation potential, increased frailty, and greater susceptibility to systemic complications (11</w:t>
      </w:r>
      <w:proofErr w:type="gramStart"/>
      <w:r w:rsidRPr="00B119DC">
        <w:t>,12</w:t>
      </w:r>
      <w:proofErr w:type="gramEnd"/>
      <w:r w:rsidRPr="00B119DC">
        <w:t>). Diabetes mellitus similarly demonstrated a significant association with poor outcome, consistent with evidence linking diabetes to endothelial dysfunction, impaired cerebral perfusion, increased infarct progression, and delayed neurological recovery (13). Although chronic kidney disease showed a trend toward worse outcome, the association did not reach statistical significance, potentially due to the relatively modest sample size. Nonetheless, prior studies have consistently identified renal dysfunction as an important determinant of poor stroke prognosis and increased mortality (14</w:t>
      </w:r>
      <w:proofErr w:type="gramStart"/>
      <w:r w:rsidRPr="00B119DC">
        <w:t>,15</w:t>
      </w:r>
      <w:proofErr w:type="gramEnd"/>
      <w:r w:rsidRPr="00B119DC">
        <w:t>).</w:t>
      </w:r>
    </w:p>
    <w:p w:rsidR="003D5D96" w:rsidRPr="00B119DC" w:rsidRDefault="003D5D96" w:rsidP="00B119DC">
      <w:pPr>
        <w:pStyle w:val="Body"/>
      </w:pPr>
      <w:r w:rsidRPr="00B119DC">
        <w:t xml:space="preserve">Interestingly, </w:t>
      </w:r>
      <w:proofErr w:type="spellStart"/>
      <w:r w:rsidRPr="00B119DC">
        <w:t>polypharmacy</w:t>
      </w:r>
      <w:proofErr w:type="spellEnd"/>
      <w:r w:rsidRPr="00B119DC">
        <w:t xml:space="preserve"> was not significantly associated with poor clinical outcome despite affecting nearly half of the study population. This finding may indicate that the number of medications alone is less clinically important than the severity of underlying disease and the occurrence of acute complications. Similarly, COPD did not demonstrate a statistically significant association with adverse outcome, although confidence intervals suggested a possible trend toward increased risk. Larger studies may be required to clarify these relationships.</w:t>
      </w:r>
    </w:p>
    <w:p w:rsidR="003D5D96" w:rsidRPr="00B119DC" w:rsidRDefault="003D5D96" w:rsidP="00B119DC">
      <w:pPr>
        <w:pStyle w:val="Body"/>
      </w:pPr>
      <w:r w:rsidRPr="00B119DC">
        <w:t xml:space="preserve">The present study has several important clinical implications. The findings suggest that acute in-hospital complications may exert a greater influence on short-term stroke outcomes than baseline chronic disease burden alone. Therefore, aggressive prevention, early detection, and multidisciplinary management of complications such as pneumonia and cardiac events may substantially improve prognosis among hospitalized stroke patients. These findings are particularly relevant in tertiary-care settings within low- and middle-income countries, where healthcare systems frequently manage patients with advanced </w:t>
      </w:r>
      <w:proofErr w:type="spellStart"/>
      <w:r w:rsidRPr="00B119DC">
        <w:t>multimorbidity</w:t>
      </w:r>
      <w:proofErr w:type="spellEnd"/>
      <w:r w:rsidRPr="00B119DC">
        <w:t xml:space="preserve"> and delayed presentation.</w:t>
      </w:r>
    </w:p>
    <w:p w:rsidR="003D5D96" w:rsidRPr="00B119DC" w:rsidRDefault="003D5D96" w:rsidP="00B119DC">
      <w:pPr>
        <w:pStyle w:val="Body"/>
      </w:pPr>
      <w:r w:rsidRPr="00B119DC">
        <w:t>Several limitations should be acknowledged. The study was conducted at a single tertiary-care center with a relatively small sample size, which may limit generalizability and reduce statistical power for subgroup analyses. Stroke severity scales, functional assessment scores, and long-term follow-up outcomes were not available, limiting evaluation of neurological recovery beyond hospitalization. Additionally, multivariable adjusted regression analyses were not performed, and residual confounding may therefore remain present. Despite these limitations, the study provides clinically relevant prospective data regarding the interaction between medical comorbidities, in-hospital complications, and stroke outcomes in a Pakistani tertiary-care population.</w:t>
      </w:r>
    </w:p>
    <w:p w:rsidR="003D5D96" w:rsidRPr="00B119DC" w:rsidRDefault="003D5D96" w:rsidP="00B119DC">
      <w:pPr>
        <w:pStyle w:val="Body"/>
      </w:pPr>
      <w:r w:rsidRPr="00B119DC">
        <w:t xml:space="preserve">Overall, the findings reinforce the importance of comprehensive stroke care extending beyond neurological management alone. Early identification of high-risk patients, systematic monitoring for infectious and </w:t>
      </w:r>
      <w:r w:rsidRPr="00B119DC">
        <w:lastRenderedPageBreak/>
        <w:t>cardiovascular complications, and optimization of chronic disease management may improve short-term clinical outcomes and reduce mortality among hospitalized stroke patients.</w:t>
      </w:r>
    </w:p>
    <w:p w:rsidR="00BB3BA0" w:rsidRPr="00B119DC" w:rsidRDefault="00BB3BA0" w:rsidP="00B119DC">
      <w:pPr>
        <w:pStyle w:val="Heading1"/>
      </w:pPr>
      <w:r w:rsidRPr="00B119DC">
        <w:t>Conclusion</w:t>
      </w:r>
    </w:p>
    <w:p w:rsidR="003D5D96" w:rsidRPr="00B119DC" w:rsidRDefault="003D5D96" w:rsidP="00B119DC">
      <w:pPr>
        <w:pStyle w:val="Body"/>
      </w:pPr>
      <w:r w:rsidRPr="00B119DC">
        <w:t>In conclusion, this prospective cohort study demonstrated that medical comorbidities and in-hospital complications substantially influenced short-term clinical outcomes among hospitalized stroke patients a</w:t>
      </w:r>
      <w:r w:rsidR="00B119DC">
        <w:t>t University of Lahore Teaching</w:t>
      </w:r>
      <w:r w:rsidRPr="00B119DC">
        <w:t xml:space="preserve"> Hospital, Pakistan. Acute complications, particularly cardiac events and pneumonia, were the strongest predictors of poor clinical outcome, while higher </w:t>
      </w:r>
      <w:proofErr w:type="spellStart"/>
      <w:r w:rsidRPr="00B119DC">
        <w:t>Charlson</w:t>
      </w:r>
      <w:proofErr w:type="spellEnd"/>
      <w:r w:rsidRPr="00B119DC">
        <w:t xml:space="preserve"> Comorbidity Index and diabetes mellitus were also significantly associated with adverse prognosis. More than half of patients experienced at least one in-hospital medical complication, and over one-third developed poor clinical outcomes, highlighting the considerable clinical burden in this elderly and medically complex population. These findings emphasize the importance of comprehensive multidisciplinary stroke care focused not only on neurological management but also on early identification, prevention, and aggressive treatment of infectious and cardiovascular complications. Strengthening complication surveillance, cardiac monitoring, dysphagia screening, and optimization of chronic disease management may improve clinical outcomes and reduce mortality among stroke patients in tertiary-care settings within Pakistan and similar healthcare environments.</w:t>
      </w:r>
    </w:p>
    <w:p w:rsidR="00BB3BA0" w:rsidRPr="00B119DC" w:rsidRDefault="00BB3BA0" w:rsidP="00B119DC">
      <w:pPr>
        <w:pStyle w:val="Heading1"/>
      </w:pPr>
      <w:r w:rsidRPr="00B119DC">
        <w:t>References</w:t>
      </w:r>
    </w:p>
    <w:p w:rsidR="003D5D96" w:rsidRPr="00B119DC" w:rsidRDefault="003D5D96" w:rsidP="00B119DC">
      <w:pPr>
        <w:pStyle w:val="Body"/>
      </w:pPr>
    </w:p>
    <w:p w:rsidR="003D5D96" w:rsidRPr="00B119DC" w:rsidRDefault="003D5D96" w:rsidP="00B119DC">
      <w:pPr>
        <w:pStyle w:val="Body"/>
        <w:numPr>
          <w:ilvl w:val="0"/>
          <w:numId w:val="19"/>
        </w:numPr>
      </w:pPr>
      <w:proofErr w:type="spellStart"/>
      <w:r w:rsidRPr="00B119DC">
        <w:t>Appelros</w:t>
      </w:r>
      <w:proofErr w:type="spellEnd"/>
      <w:r w:rsidRPr="00B119DC">
        <w:t xml:space="preserve"> P, </w:t>
      </w:r>
      <w:proofErr w:type="spellStart"/>
      <w:r w:rsidRPr="00B119DC">
        <w:t>Matérne</w:t>
      </w:r>
      <w:proofErr w:type="spellEnd"/>
      <w:r w:rsidRPr="00B119DC">
        <w:t xml:space="preserve"> M, Jarl G, </w:t>
      </w:r>
      <w:proofErr w:type="spellStart"/>
      <w:proofErr w:type="gramStart"/>
      <w:r w:rsidRPr="00B119DC">
        <w:t>Arvidsson</w:t>
      </w:r>
      <w:proofErr w:type="gramEnd"/>
      <w:r w:rsidRPr="00B119DC">
        <w:t>-Lindvall</w:t>
      </w:r>
      <w:proofErr w:type="spellEnd"/>
      <w:r w:rsidRPr="00B119DC">
        <w:t xml:space="preserve"> M. Comorbidity in stroke survivors: prevalence and associations with functional outcomes and health. J Stroke </w:t>
      </w:r>
      <w:proofErr w:type="spellStart"/>
      <w:r w:rsidRPr="00B119DC">
        <w:t>Cerebrovasc</w:t>
      </w:r>
      <w:proofErr w:type="spellEnd"/>
      <w:r w:rsidRPr="00B119DC">
        <w:t xml:space="preserve"> Dis. 2021</w:t>
      </w:r>
      <w:proofErr w:type="gramStart"/>
      <w:r w:rsidRPr="00B119DC">
        <w:t>;30</w:t>
      </w:r>
      <w:proofErr w:type="gramEnd"/>
      <w:r w:rsidRPr="00B119DC">
        <w:t xml:space="preserve">(9):106000. doi:10.1016/j.jstrokecerebrovasdis.2021.106000 </w:t>
      </w:r>
    </w:p>
    <w:p w:rsidR="003D5D96" w:rsidRPr="00B119DC" w:rsidRDefault="003D5D96" w:rsidP="00B119DC">
      <w:pPr>
        <w:pStyle w:val="Body"/>
        <w:numPr>
          <w:ilvl w:val="0"/>
          <w:numId w:val="19"/>
        </w:numPr>
      </w:pPr>
      <w:proofErr w:type="spellStart"/>
      <w:r w:rsidRPr="00B119DC">
        <w:t>Elamy</w:t>
      </w:r>
      <w:proofErr w:type="spellEnd"/>
      <w:r w:rsidRPr="00B119DC">
        <w:t xml:space="preserve"> A, </w:t>
      </w:r>
      <w:proofErr w:type="spellStart"/>
      <w:r w:rsidRPr="00B119DC">
        <w:t>Shuaib</w:t>
      </w:r>
      <w:proofErr w:type="spellEnd"/>
      <w:r w:rsidRPr="00B119DC">
        <w:t xml:space="preserve"> A, </w:t>
      </w:r>
      <w:proofErr w:type="spellStart"/>
      <w:r w:rsidRPr="00B119DC">
        <w:t>Carriere</w:t>
      </w:r>
      <w:proofErr w:type="spellEnd"/>
      <w:r w:rsidRPr="00B119DC">
        <w:t xml:space="preserve"> K, </w:t>
      </w:r>
      <w:proofErr w:type="spellStart"/>
      <w:r w:rsidRPr="00B119DC">
        <w:t>Jeerakathil</w:t>
      </w:r>
      <w:proofErr w:type="spellEnd"/>
      <w:r w:rsidRPr="00B119DC">
        <w:t xml:space="preserve"> T. Common comorbidities of stroke in the Canadian population. Can J </w:t>
      </w:r>
      <w:proofErr w:type="spellStart"/>
      <w:r w:rsidRPr="00B119DC">
        <w:t>Neurol</w:t>
      </w:r>
      <w:proofErr w:type="spellEnd"/>
      <w:r w:rsidRPr="00B119DC">
        <w:t xml:space="preserve"> Sci. 2020</w:t>
      </w:r>
      <w:proofErr w:type="gramStart"/>
      <w:r w:rsidRPr="00B119DC">
        <w:t>;47</w:t>
      </w:r>
      <w:proofErr w:type="gramEnd"/>
      <w:r w:rsidRPr="00B119DC">
        <w:t xml:space="preserve">(4):455-463. doi:10.1017/cjn.2020.17 </w:t>
      </w:r>
    </w:p>
    <w:p w:rsidR="003D5D96" w:rsidRPr="00B119DC" w:rsidRDefault="003D5D96" w:rsidP="00B119DC">
      <w:pPr>
        <w:pStyle w:val="Body"/>
        <w:numPr>
          <w:ilvl w:val="0"/>
          <w:numId w:val="19"/>
        </w:numPr>
      </w:pPr>
      <w:proofErr w:type="spellStart"/>
      <w:r w:rsidRPr="00B119DC">
        <w:t>Barow</w:t>
      </w:r>
      <w:proofErr w:type="spellEnd"/>
      <w:r w:rsidRPr="00B119DC">
        <w:t xml:space="preserve"> E, </w:t>
      </w:r>
      <w:proofErr w:type="spellStart"/>
      <w:r w:rsidRPr="00B119DC">
        <w:t>Probst</w:t>
      </w:r>
      <w:proofErr w:type="spellEnd"/>
      <w:r w:rsidRPr="00B119DC">
        <w:t xml:space="preserve"> A, </w:t>
      </w:r>
      <w:proofErr w:type="spellStart"/>
      <w:r w:rsidRPr="00B119DC">
        <w:t>Pinnschmidt</w:t>
      </w:r>
      <w:proofErr w:type="spellEnd"/>
      <w:r w:rsidRPr="00B119DC">
        <w:t xml:space="preserve"> H, </w:t>
      </w:r>
      <w:proofErr w:type="spellStart"/>
      <w:r w:rsidRPr="00B119DC">
        <w:t>Heinze</w:t>
      </w:r>
      <w:proofErr w:type="spellEnd"/>
      <w:r w:rsidRPr="00B119DC">
        <w:t xml:space="preserve"> M, Jensen M, </w:t>
      </w:r>
      <w:proofErr w:type="spellStart"/>
      <w:r w:rsidRPr="00B119DC">
        <w:t>Rimmele</w:t>
      </w:r>
      <w:proofErr w:type="spellEnd"/>
      <w:r w:rsidRPr="00B119DC">
        <w:t xml:space="preserve"> DL, et al. Effect of comorbidity burden and </w:t>
      </w:r>
      <w:proofErr w:type="spellStart"/>
      <w:r w:rsidRPr="00B119DC">
        <w:t>polypharmacy</w:t>
      </w:r>
      <w:proofErr w:type="spellEnd"/>
      <w:r w:rsidRPr="00B119DC">
        <w:t xml:space="preserve"> on poor functional outcome in acute ischemic stroke. </w:t>
      </w:r>
      <w:proofErr w:type="spellStart"/>
      <w:r w:rsidRPr="00B119DC">
        <w:t>Clin</w:t>
      </w:r>
      <w:proofErr w:type="spellEnd"/>
      <w:r w:rsidRPr="00B119DC">
        <w:t xml:space="preserve"> </w:t>
      </w:r>
      <w:proofErr w:type="spellStart"/>
      <w:r w:rsidRPr="00B119DC">
        <w:t>Neuroradiol</w:t>
      </w:r>
      <w:proofErr w:type="spellEnd"/>
      <w:r w:rsidRPr="00B119DC">
        <w:t>. 2022</w:t>
      </w:r>
      <w:proofErr w:type="gramStart"/>
      <w:r w:rsidRPr="00B119DC">
        <w:t>;32</w:t>
      </w:r>
      <w:proofErr w:type="gramEnd"/>
      <w:r w:rsidRPr="00B119DC">
        <w:t xml:space="preserve">(4):1021-1030. doi:10.1007/s00062-022-01193-8 </w:t>
      </w:r>
    </w:p>
    <w:p w:rsidR="003D5D96" w:rsidRPr="00B119DC" w:rsidRDefault="003D5D96" w:rsidP="00B119DC">
      <w:pPr>
        <w:pStyle w:val="Body"/>
        <w:numPr>
          <w:ilvl w:val="0"/>
          <w:numId w:val="19"/>
        </w:numPr>
      </w:pPr>
      <w:r w:rsidRPr="00B119DC">
        <w:t>Chen W, Li D. Comorbidity and outcomes among hospitalized patients with stroke: a nationwide inpatient analysis. Front Neurol. 2023</w:t>
      </w:r>
      <w:proofErr w:type="gramStart"/>
      <w:r w:rsidRPr="00B119DC">
        <w:t>;14:1217404</w:t>
      </w:r>
      <w:proofErr w:type="gramEnd"/>
      <w:r w:rsidRPr="00B119DC">
        <w:t xml:space="preserve">. doi:10.3389/fneur.2023.1217404 </w:t>
      </w:r>
    </w:p>
    <w:p w:rsidR="003D5D96" w:rsidRPr="00B119DC" w:rsidRDefault="003D5D96" w:rsidP="00B119DC">
      <w:pPr>
        <w:pStyle w:val="Body"/>
        <w:numPr>
          <w:ilvl w:val="0"/>
          <w:numId w:val="19"/>
        </w:numPr>
      </w:pPr>
      <w:proofErr w:type="spellStart"/>
      <w:r w:rsidRPr="00B119DC">
        <w:t>Simats</w:t>
      </w:r>
      <w:proofErr w:type="spellEnd"/>
      <w:r w:rsidRPr="00B119DC">
        <w:t xml:space="preserve"> A, </w:t>
      </w:r>
      <w:proofErr w:type="spellStart"/>
      <w:r w:rsidRPr="00B119DC">
        <w:t>Liesz</w:t>
      </w:r>
      <w:proofErr w:type="spellEnd"/>
      <w:r w:rsidRPr="00B119DC">
        <w:t xml:space="preserve"> A. Systemic inflammation after stroke: implications for post-stroke comorbidities. EMBO </w:t>
      </w:r>
      <w:proofErr w:type="spellStart"/>
      <w:r w:rsidRPr="00B119DC">
        <w:t>Mol</w:t>
      </w:r>
      <w:proofErr w:type="spellEnd"/>
      <w:r w:rsidRPr="00B119DC">
        <w:t xml:space="preserve"> Med. 2022</w:t>
      </w:r>
      <w:proofErr w:type="gramStart"/>
      <w:r w:rsidRPr="00B119DC">
        <w:t>;14</w:t>
      </w:r>
      <w:proofErr w:type="gramEnd"/>
      <w:r w:rsidRPr="00B119DC">
        <w:t xml:space="preserve">(8):e16269. doi:10.15252/emmm.202216269 </w:t>
      </w:r>
    </w:p>
    <w:p w:rsidR="003D5D96" w:rsidRPr="00B119DC" w:rsidRDefault="003D5D96" w:rsidP="00B119DC">
      <w:pPr>
        <w:pStyle w:val="Body"/>
        <w:numPr>
          <w:ilvl w:val="0"/>
          <w:numId w:val="19"/>
        </w:numPr>
      </w:pPr>
      <w:proofErr w:type="spellStart"/>
      <w:r w:rsidRPr="00B119DC">
        <w:t>Che</w:t>
      </w:r>
      <w:proofErr w:type="spellEnd"/>
      <w:r w:rsidRPr="00B119DC">
        <w:t xml:space="preserve"> F, Wang A, </w:t>
      </w:r>
      <w:proofErr w:type="spellStart"/>
      <w:r w:rsidRPr="00B119DC">
        <w:t>Ju</w:t>
      </w:r>
      <w:proofErr w:type="spellEnd"/>
      <w:r w:rsidRPr="00B119DC">
        <w:t xml:space="preserve"> Y, Liu L, Ma N, Cheng Z, et al. Prevalence and impact of medical complications on clinical outcomes in acute ischemic stroke patients after endovascular therapy: data from a comprehensive stroke unit in China. World </w:t>
      </w:r>
      <w:proofErr w:type="spellStart"/>
      <w:r w:rsidRPr="00B119DC">
        <w:t>Neurosurg</w:t>
      </w:r>
      <w:proofErr w:type="spellEnd"/>
      <w:r w:rsidRPr="00B119DC">
        <w:t>. 2023</w:t>
      </w:r>
      <w:proofErr w:type="gramStart"/>
      <w:r w:rsidRPr="00B119DC">
        <w:t>;181:e563</w:t>
      </w:r>
      <w:proofErr w:type="gramEnd"/>
      <w:r w:rsidRPr="00B119DC">
        <w:t xml:space="preserve">-e571. doi:10.1016/j.wneu.2023.11.113 </w:t>
      </w:r>
    </w:p>
    <w:p w:rsidR="003D5D96" w:rsidRPr="00B119DC" w:rsidRDefault="003D5D96" w:rsidP="00B119DC">
      <w:pPr>
        <w:pStyle w:val="Body"/>
        <w:numPr>
          <w:ilvl w:val="0"/>
          <w:numId w:val="19"/>
        </w:numPr>
      </w:pPr>
      <w:r w:rsidRPr="00B119DC">
        <w:t xml:space="preserve">Duncan P, Bushnell C, </w:t>
      </w:r>
      <w:proofErr w:type="spellStart"/>
      <w:r w:rsidRPr="00B119DC">
        <w:t>Sissine</w:t>
      </w:r>
      <w:proofErr w:type="spellEnd"/>
      <w:r w:rsidRPr="00B119DC">
        <w:t xml:space="preserve"> ME, Coleman SW, Lutz B, Johnson AM, et al. Comprehensive stroke care and outcomes. Stroke. 2020</w:t>
      </w:r>
      <w:proofErr w:type="gramStart"/>
      <w:r w:rsidRPr="00B119DC">
        <w:t>;51</w:t>
      </w:r>
      <w:proofErr w:type="gramEnd"/>
      <w:r w:rsidRPr="00B119DC">
        <w:t xml:space="preserve">(9):2732-2738. doi:10.1161/STROKEAHA.120.029678 </w:t>
      </w:r>
    </w:p>
    <w:p w:rsidR="003D5D96" w:rsidRPr="00B119DC" w:rsidRDefault="003D5D96" w:rsidP="00B119DC">
      <w:pPr>
        <w:pStyle w:val="Body"/>
        <w:numPr>
          <w:ilvl w:val="0"/>
          <w:numId w:val="19"/>
        </w:numPr>
      </w:pPr>
      <w:r w:rsidRPr="00B119DC">
        <w:t>Buckley B, Harrison S, Hill A, Underhill P, Lane D, Lip GYH. Stroke-heart syndrome: incidence and clinical outcomes of cardiac complications following stroke. Stroke. 2022</w:t>
      </w:r>
      <w:proofErr w:type="gramStart"/>
      <w:r w:rsidRPr="00B119DC">
        <w:t>;53</w:t>
      </w:r>
      <w:proofErr w:type="gramEnd"/>
      <w:r w:rsidRPr="00B119DC">
        <w:t xml:space="preserve">(5):1759-1768. doi:10.1161/STROKEAHA.121.037316 </w:t>
      </w:r>
    </w:p>
    <w:p w:rsidR="003D5D96" w:rsidRPr="00B119DC" w:rsidRDefault="003D5D96" w:rsidP="00B119DC">
      <w:pPr>
        <w:pStyle w:val="Body"/>
        <w:numPr>
          <w:ilvl w:val="0"/>
          <w:numId w:val="19"/>
        </w:numPr>
      </w:pPr>
      <w:r w:rsidRPr="00B119DC">
        <w:t xml:space="preserve">Huber CC, Wang X, Wang H. Impact of cardiovascular diseases on ischemic stroke outcomes. J </w:t>
      </w:r>
      <w:proofErr w:type="spellStart"/>
      <w:r w:rsidRPr="00B119DC">
        <w:t>Integr</w:t>
      </w:r>
      <w:proofErr w:type="spellEnd"/>
      <w:r w:rsidRPr="00B119DC">
        <w:t xml:space="preserve"> </w:t>
      </w:r>
      <w:proofErr w:type="spellStart"/>
      <w:r w:rsidRPr="00B119DC">
        <w:t>Neurosci</w:t>
      </w:r>
      <w:proofErr w:type="spellEnd"/>
      <w:r w:rsidRPr="00B119DC">
        <w:t>. 2022</w:t>
      </w:r>
      <w:proofErr w:type="gramStart"/>
      <w:r w:rsidRPr="00B119DC">
        <w:t>;21</w:t>
      </w:r>
      <w:proofErr w:type="gramEnd"/>
      <w:r w:rsidRPr="00B119DC">
        <w:t xml:space="preserve">(5):138. doi:10.31083/j.jin2105138 </w:t>
      </w:r>
    </w:p>
    <w:p w:rsidR="003D5D96" w:rsidRPr="00B119DC" w:rsidRDefault="003D5D96" w:rsidP="00B119DC">
      <w:pPr>
        <w:pStyle w:val="Body"/>
        <w:numPr>
          <w:ilvl w:val="0"/>
          <w:numId w:val="19"/>
        </w:numPr>
      </w:pPr>
      <w:proofErr w:type="spellStart"/>
      <w:r w:rsidRPr="00B119DC">
        <w:t>Ayub</w:t>
      </w:r>
      <w:proofErr w:type="spellEnd"/>
      <w:r w:rsidRPr="00B119DC">
        <w:t xml:space="preserve"> MA, Ansari J, Sheikh M, </w:t>
      </w:r>
      <w:proofErr w:type="spellStart"/>
      <w:r w:rsidRPr="00B119DC">
        <w:t>Elsekaily</w:t>
      </w:r>
      <w:proofErr w:type="spellEnd"/>
      <w:r w:rsidRPr="00B119DC">
        <w:t xml:space="preserve"> O, </w:t>
      </w:r>
      <w:proofErr w:type="spellStart"/>
      <w:r w:rsidRPr="00B119DC">
        <w:t>Buchhanolla</w:t>
      </w:r>
      <w:proofErr w:type="spellEnd"/>
      <w:r w:rsidRPr="00B119DC">
        <w:t xml:space="preserve"> P, </w:t>
      </w:r>
      <w:proofErr w:type="spellStart"/>
      <w:r w:rsidRPr="00B119DC">
        <w:t>Neshatfar</w:t>
      </w:r>
      <w:proofErr w:type="spellEnd"/>
      <w:r w:rsidRPr="00B119DC">
        <w:t xml:space="preserve"> A, et al. Association of co-morbidities with functional outcomes in stroke patients with atrial fibrillation on long-term oral anticoagulation. Neurology. 2023</w:t>
      </w:r>
      <w:proofErr w:type="gramStart"/>
      <w:r w:rsidRPr="00B119DC">
        <w:t>;100</w:t>
      </w:r>
      <w:proofErr w:type="gramEnd"/>
      <w:r w:rsidRPr="00B119DC">
        <w:t xml:space="preserve">(17 Supplement):P11-5.030. doi:10.1212/WNL.0000000000204298 </w:t>
      </w:r>
    </w:p>
    <w:p w:rsidR="003D5D96" w:rsidRPr="00B119DC" w:rsidRDefault="003D5D96" w:rsidP="00B119DC">
      <w:pPr>
        <w:pStyle w:val="Body"/>
        <w:numPr>
          <w:ilvl w:val="0"/>
          <w:numId w:val="19"/>
        </w:numPr>
      </w:pPr>
      <w:r w:rsidRPr="00B119DC">
        <w:t xml:space="preserve">Kelly D, </w:t>
      </w:r>
      <w:proofErr w:type="spellStart"/>
      <w:r w:rsidRPr="00B119DC">
        <w:t>Rothwell</w:t>
      </w:r>
      <w:proofErr w:type="spellEnd"/>
      <w:r w:rsidRPr="00B119DC">
        <w:t xml:space="preserve"> P. Impact of </w:t>
      </w:r>
      <w:proofErr w:type="spellStart"/>
      <w:r w:rsidRPr="00B119DC">
        <w:t>multimorbidity</w:t>
      </w:r>
      <w:proofErr w:type="spellEnd"/>
      <w:r w:rsidRPr="00B119DC">
        <w:t xml:space="preserve"> on risk and outcome of stroke: lessons from chronic kidney disease. </w:t>
      </w:r>
      <w:proofErr w:type="spellStart"/>
      <w:r w:rsidRPr="00B119DC">
        <w:t>Int</w:t>
      </w:r>
      <w:proofErr w:type="spellEnd"/>
      <w:r w:rsidRPr="00B119DC">
        <w:t xml:space="preserve"> J Stroke. 2020</w:t>
      </w:r>
      <w:proofErr w:type="gramStart"/>
      <w:r w:rsidRPr="00B119DC">
        <w:t>;15</w:t>
      </w:r>
      <w:proofErr w:type="gramEnd"/>
      <w:r w:rsidRPr="00B119DC">
        <w:t xml:space="preserve">(2):113-121. doi:10.1177/1747493020975250 </w:t>
      </w:r>
    </w:p>
    <w:p w:rsidR="003D5D96" w:rsidRPr="00B119DC" w:rsidRDefault="003D5D96" w:rsidP="00B119DC">
      <w:pPr>
        <w:pStyle w:val="Body"/>
        <w:numPr>
          <w:ilvl w:val="0"/>
          <w:numId w:val="19"/>
        </w:numPr>
      </w:pPr>
      <w:proofErr w:type="spellStart"/>
      <w:r w:rsidRPr="00B119DC">
        <w:lastRenderedPageBreak/>
        <w:t>Zheng</w:t>
      </w:r>
      <w:proofErr w:type="spellEnd"/>
      <w:r w:rsidRPr="00B119DC">
        <w:t xml:space="preserve"> M, </w:t>
      </w:r>
      <w:proofErr w:type="spellStart"/>
      <w:r w:rsidRPr="00B119DC">
        <w:t>Lavie</w:t>
      </w:r>
      <w:proofErr w:type="spellEnd"/>
      <w:r w:rsidRPr="00B119DC">
        <w:t xml:space="preserve"> CJ. Landscape of stroke comorbidities. </w:t>
      </w:r>
      <w:proofErr w:type="spellStart"/>
      <w:r w:rsidRPr="00B119DC">
        <w:t>Prog</w:t>
      </w:r>
      <w:proofErr w:type="spellEnd"/>
      <w:r w:rsidRPr="00B119DC">
        <w:t xml:space="preserve"> </w:t>
      </w:r>
      <w:proofErr w:type="spellStart"/>
      <w:r w:rsidRPr="00B119DC">
        <w:t>Cardiovasc</w:t>
      </w:r>
      <w:proofErr w:type="spellEnd"/>
      <w:r w:rsidRPr="00B119DC">
        <w:t xml:space="preserve"> Dis. 2024</w:t>
      </w:r>
      <w:proofErr w:type="gramStart"/>
      <w:r w:rsidRPr="00B119DC">
        <w:t>;84:12</w:t>
      </w:r>
      <w:proofErr w:type="gramEnd"/>
      <w:r w:rsidRPr="00B119DC">
        <w:t xml:space="preserve">-20. doi:10.1016/j.pcad.2024.09.005 </w:t>
      </w:r>
    </w:p>
    <w:p w:rsidR="003D5D96" w:rsidRPr="00B119DC" w:rsidRDefault="003D5D96" w:rsidP="00B119DC">
      <w:pPr>
        <w:pStyle w:val="Body"/>
        <w:numPr>
          <w:ilvl w:val="0"/>
          <w:numId w:val="19"/>
        </w:numPr>
      </w:pPr>
      <w:proofErr w:type="spellStart"/>
      <w:r w:rsidRPr="00B119DC">
        <w:t>Qian</w:t>
      </w:r>
      <w:proofErr w:type="spellEnd"/>
      <w:r w:rsidRPr="00B119DC">
        <w:t xml:space="preserve"> Y, </w:t>
      </w:r>
      <w:proofErr w:type="spellStart"/>
      <w:r w:rsidRPr="00B119DC">
        <w:t>Chopp</w:t>
      </w:r>
      <w:proofErr w:type="spellEnd"/>
      <w:r w:rsidRPr="00B119DC">
        <w:t xml:space="preserve"> M, Chen J. Emerging role of microRNAs in ischemic stroke with comorbidities. </w:t>
      </w:r>
      <w:proofErr w:type="spellStart"/>
      <w:r w:rsidRPr="00B119DC">
        <w:t>Exp</w:t>
      </w:r>
      <w:proofErr w:type="spellEnd"/>
      <w:r w:rsidRPr="00B119DC">
        <w:t xml:space="preserve"> Neurol. 2020</w:t>
      </w:r>
      <w:proofErr w:type="gramStart"/>
      <w:r w:rsidRPr="00B119DC">
        <w:t>;331:113382</w:t>
      </w:r>
      <w:proofErr w:type="gramEnd"/>
      <w:r w:rsidRPr="00B119DC">
        <w:t xml:space="preserve">. doi:10.1016/j.expneurol.2020.113382 </w:t>
      </w:r>
    </w:p>
    <w:p w:rsidR="003D5D96" w:rsidRPr="00B119DC" w:rsidRDefault="003D5D96" w:rsidP="00B119DC">
      <w:pPr>
        <w:pStyle w:val="Body"/>
        <w:numPr>
          <w:ilvl w:val="0"/>
          <w:numId w:val="19"/>
        </w:numPr>
      </w:pPr>
      <w:proofErr w:type="spellStart"/>
      <w:r w:rsidRPr="00B119DC">
        <w:t>Pande</w:t>
      </w:r>
      <w:proofErr w:type="spellEnd"/>
      <w:r w:rsidRPr="00B119DC">
        <w:t xml:space="preserve"> S, Morris J. Influence of chronic kidney disease and </w:t>
      </w:r>
      <w:proofErr w:type="spellStart"/>
      <w:r w:rsidRPr="00B119DC">
        <w:t>haemodialysis</w:t>
      </w:r>
      <w:proofErr w:type="spellEnd"/>
      <w:r w:rsidRPr="00B119DC">
        <w:t xml:space="preserve"> on stroke outcome. Singapore Med J. 2020</w:t>
      </w:r>
      <w:proofErr w:type="gramStart"/>
      <w:r w:rsidRPr="00B119DC">
        <w:t>;61</w:t>
      </w:r>
      <w:proofErr w:type="gramEnd"/>
      <w:r w:rsidRPr="00B119DC">
        <w:t xml:space="preserve">(11):575-580. doi:10.11622/smedj.2020044 </w:t>
      </w:r>
    </w:p>
    <w:p w:rsidR="003D5D96" w:rsidRPr="00B119DC" w:rsidRDefault="003D5D96" w:rsidP="00B119DC">
      <w:pPr>
        <w:pStyle w:val="Body"/>
        <w:numPr>
          <w:ilvl w:val="0"/>
          <w:numId w:val="19"/>
        </w:numPr>
      </w:pPr>
      <w:proofErr w:type="spellStart"/>
      <w:r w:rsidRPr="00B119DC">
        <w:t>Branyan</w:t>
      </w:r>
      <w:proofErr w:type="spellEnd"/>
      <w:r w:rsidRPr="00B119DC">
        <w:t xml:space="preserve"> TE, </w:t>
      </w:r>
      <w:proofErr w:type="spellStart"/>
      <w:r w:rsidRPr="00B119DC">
        <w:t>Sohrabji</w:t>
      </w:r>
      <w:proofErr w:type="spellEnd"/>
      <w:r w:rsidRPr="00B119DC">
        <w:t xml:space="preserve"> F. Sex differences in stroke co-morbidities. </w:t>
      </w:r>
      <w:proofErr w:type="spellStart"/>
      <w:r w:rsidRPr="00B119DC">
        <w:t>Exp</w:t>
      </w:r>
      <w:proofErr w:type="spellEnd"/>
      <w:r w:rsidRPr="00B119DC">
        <w:t xml:space="preserve"> Neurol. 2020</w:t>
      </w:r>
      <w:proofErr w:type="gramStart"/>
      <w:r w:rsidRPr="00B119DC">
        <w:t>;332:113384</w:t>
      </w:r>
      <w:proofErr w:type="gramEnd"/>
      <w:r w:rsidRPr="00B119DC">
        <w:t xml:space="preserve">. doi:10.1016/j.expneurol.2020.113384 </w:t>
      </w:r>
    </w:p>
    <w:p w:rsidR="003D5D96" w:rsidRPr="00B119DC" w:rsidRDefault="003D5D96" w:rsidP="00B119DC">
      <w:pPr>
        <w:pStyle w:val="Body"/>
        <w:numPr>
          <w:ilvl w:val="0"/>
          <w:numId w:val="19"/>
        </w:numPr>
      </w:pPr>
      <w:r w:rsidRPr="00B119DC">
        <w:t xml:space="preserve">Mohamed B, </w:t>
      </w:r>
      <w:proofErr w:type="spellStart"/>
      <w:r w:rsidRPr="00B119DC">
        <w:t>Yarlagadda</w:t>
      </w:r>
      <w:proofErr w:type="spellEnd"/>
      <w:r w:rsidRPr="00B119DC">
        <w:t xml:space="preserve"> K, Self ZB, Simon A, </w:t>
      </w:r>
      <w:proofErr w:type="spellStart"/>
      <w:r w:rsidRPr="00B119DC">
        <w:t>Rigueiro</w:t>
      </w:r>
      <w:proofErr w:type="spellEnd"/>
      <w:r w:rsidRPr="00B119DC">
        <w:t xml:space="preserve"> F, </w:t>
      </w:r>
      <w:proofErr w:type="spellStart"/>
      <w:r w:rsidRPr="00B119DC">
        <w:t>Sohooli</w:t>
      </w:r>
      <w:proofErr w:type="spellEnd"/>
      <w:r w:rsidRPr="00B119DC">
        <w:t xml:space="preserve"> M, et al. Obstructive sleep apnea and stroke: determining the mechanisms behind their association and treatment options. </w:t>
      </w:r>
      <w:proofErr w:type="spellStart"/>
      <w:r w:rsidRPr="00B119DC">
        <w:t>Transl</w:t>
      </w:r>
      <w:proofErr w:type="spellEnd"/>
      <w:r w:rsidRPr="00B119DC">
        <w:t xml:space="preserve"> Stroke Res. 2023</w:t>
      </w:r>
      <w:proofErr w:type="gramStart"/>
      <w:r w:rsidRPr="00B119DC">
        <w:t>;14</w:t>
      </w:r>
      <w:proofErr w:type="gramEnd"/>
      <w:r w:rsidRPr="00B119DC">
        <w:t xml:space="preserve">(6):1125-1138. doi:10.1007/s12975-023-01123-x </w:t>
      </w:r>
    </w:p>
    <w:p w:rsidR="003D5D96" w:rsidRPr="00B119DC" w:rsidRDefault="003D5D96" w:rsidP="00B119DC">
      <w:pPr>
        <w:pStyle w:val="Body"/>
        <w:numPr>
          <w:ilvl w:val="0"/>
          <w:numId w:val="19"/>
        </w:numPr>
      </w:pPr>
      <w:proofErr w:type="spellStart"/>
      <w:r w:rsidRPr="00B119DC">
        <w:t>Havenon</w:t>
      </w:r>
      <w:proofErr w:type="spellEnd"/>
      <w:r w:rsidRPr="00B119DC">
        <w:t xml:space="preserve"> AD, Ney J, Callaghan B, </w:t>
      </w:r>
      <w:proofErr w:type="spellStart"/>
      <w:r w:rsidRPr="00B119DC">
        <w:t>Delic</w:t>
      </w:r>
      <w:proofErr w:type="spellEnd"/>
      <w:r w:rsidRPr="00B119DC">
        <w:t xml:space="preserve"> A, </w:t>
      </w:r>
      <w:proofErr w:type="spellStart"/>
      <w:r w:rsidRPr="00B119DC">
        <w:t>Hohmann</w:t>
      </w:r>
      <w:proofErr w:type="spellEnd"/>
      <w:r w:rsidRPr="00B119DC">
        <w:t xml:space="preserve"> S, </w:t>
      </w:r>
      <w:proofErr w:type="spellStart"/>
      <w:r w:rsidRPr="00B119DC">
        <w:t>Shippey</w:t>
      </w:r>
      <w:proofErr w:type="spellEnd"/>
      <w:r w:rsidRPr="00B119DC">
        <w:t xml:space="preserve"> E, et al. Impact of COVID-19 on outcomes in ischemic stroke patients in the United States. J Stroke </w:t>
      </w:r>
      <w:proofErr w:type="spellStart"/>
      <w:r w:rsidRPr="00B119DC">
        <w:t>Cerebrovasc</w:t>
      </w:r>
      <w:proofErr w:type="spellEnd"/>
      <w:r w:rsidRPr="00B119DC">
        <w:t xml:space="preserve"> Dis. 2020</w:t>
      </w:r>
      <w:proofErr w:type="gramStart"/>
      <w:r w:rsidRPr="00B119DC">
        <w:t>;29</w:t>
      </w:r>
      <w:proofErr w:type="gramEnd"/>
      <w:r w:rsidRPr="00B119DC">
        <w:t xml:space="preserve">(12):105535. doi:10.1016/j.jstrokecerebrovasdis.2020.105535 </w:t>
      </w:r>
    </w:p>
    <w:p w:rsidR="003D5D96" w:rsidRPr="00B119DC" w:rsidRDefault="003D5D96" w:rsidP="00B119DC">
      <w:pPr>
        <w:pStyle w:val="Body"/>
        <w:numPr>
          <w:ilvl w:val="0"/>
          <w:numId w:val="19"/>
        </w:numPr>
      </w:pPr>
      <w:r w:rsidRPr="00B119DC">
        <w:t>Qin C, Zhou LQ, Hu ZW, Yang S, Zhang S, Chen M, et al. Clinical characteristics and outcomes of COVID-19 patients with a history of stroke in Wuhan, China. Stroke. 2020</w:t>
      </w:r>
      <w:proofErr w:type="gramStart"/>
      <w:r w:rsidRPr="00B119DC">
        <w:t>;51</w:t>
      </w:r>
      <w:proofErr w:type="gramEnd"/>
      <w:r w:rsidRPr="00B119DC">
        <w:t xml:space="preserve">(7):2219-2223. doi:10.1161/STROKEAHA.120.030365 </w:t>
      </w:r>
    </w:p>
    <w:p w:rsidR="003D5D96" w:rsidRPr="00B119DC" w:rsidRDefault="003D5D96" w:rsidP="00B119DC">
      <w:pPr>
        <w:pStyle w:val="Body"/>
        <w:numPr>
          <w:ilvl w:val="0"/>
          <w:numId w:val="19"/>
        </w:numPr>
      </w:pPr>
      <w:r w:rsidRPr="00B119DC">
        <w:t xml:space="preserve">Qureshi AI, </w:t>
      </w:r>
      <w:proofErr w:type="spellStart"/>
      <w:r w:rsidRPr="00B119DC">
        <w:t>Baskett</w:t>
      </w:r>
      <w:proofErr w:type="spellEnd"/>
      <w:r w:rsidRPr="00B119DC">
        <w:t xml:space="preserve"> WI, Huang W, </w:t>
      </w:r>
      <w:proofErr w:type="spellStart"/>
      <w:r w:rsidRPr="00B119DC">
        <w:t>Shyu</w:t>
      </w:r>
      <w:proofErr w:type="spellEnd"/>
      <w:r w:rsidRPr="00B119DC">
        <w:t xml:space="preserve"> D, Myers D, </w:t>
      </w:r>
      <w:proofErr w:type="spellStart"/>
      <w:r w:rsidRPr="00B119DC">
        <w:t>Raju</w:t>
      </w:r>
      <w:proofErr w:type="spellEnd"/>
      <w:r w:rsidRPr="00B119DC">
        <w:t xml:space="preserve"> M, et al. Acute ischemic stroke and COVID-19: an analysis of 27,676 patients. Stroke. 2021</w:t>
      </w:r>
      <w:proofErr w:type="gramStart"/>
      <w:r w:rsidRPr="00B119DC">
        <w:t>;52</w:t>
      </w:r>
      <w:proofErr w:type="gramEnd"/>
      <w:r w:rsidRPr="00B119DC">
        <w:t xml:space="preserve">(3):905-912. doi:10.1161/STROKEAHA.120.031786 </w:t>
      </w:r>
    </w:p>
    <w:p w:rsidR="003D5D96" w:rsidRDefault="003D5D96" w:rsidP="00B119DC">
      <w:pPr>
        <w:pStyle w:val="Body"/>
        <w:numPr>
          <w:ilvl w:val="0"/>
          <w:numId w:val="19"/>
        </w:numPr>
      </w:pPr>
      <w:proofErr w:type="spellStart"/>
      <w:r w:rsidRPr="00B119DC">
        <w:t>Siow</w:t>
      </w:r>
      <w:proofErr w:type="spellEnd"/>
      <w:r w:rsidRPr="00B119DC">
        <w:t xml:space="preserve"> I, Lee K, Zhang JJY, </w:t>
      </w:r>
      <w:proofErr w:type="spellStart"/>
      <w:r w:rsidRPr="00B119DC">
        <w:t>Saffari</w:t>
      </w:r>
      <w:proofErr w:type="spellEnd"/>
      <w:r w:rsidRPr="00B119DC">
        <w:t xml:space="preserve"> S, Ng A, Young B. Stroke as a neurological complication of COVID-19: a systematic review and meta-analysis of incidence, outcomes and predictors. J Stroke </w:t>
      </w:r>
      <w:proofErr w:type="spellStart"/>
      <w:r w:rsidRPr="00B119DC">
        <w:t>Cerebrovasc</w:t>
      </w:r>
      <w:proofErr w:type="spellEnd"/>
      <w:r w:rsidRPr="00B119DC">
        <w:t xml:space="preserve"> Dis. 2021</w:t>
      </w:r>
      <w:proofErr w:type="gramStart"/>
      <w:r w:rsidRPr="00B119DC">
        <w:t>;30</w:t>
      </w:r>
      <w:proofErr w:type="gramEnd"/>
      <w:r w:rsidRPr="00B119DC">
        <w:t>(1):105549. doi:10.1016/j.jstrokecerebrovasdis.2020.10554</w:t>
      </w:r>
      <w:r w:rsidRPr="00C47F37">
        <w:t>9</w:t>
      </w:r>
      <w:r>
        <w:t xml:space="preserve"> </w:t>
      </w:r>
    </w:p>
    <w:sectPr w:rsidR="003D5D96"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BD" w:rsidRDefault="00A343BD" w:rsidP="005146DA">
      <w:pPr>
        <w:spacing w:after="0" w:line="240" w:lineRule="auto"/>
      </w:pPr>
      <w:r>
        <w:separator/>
      </w:r>
    </w:p>
  </w:endnote>
  <w:endnote w:type="continuationSeparator" w:id="0">
    <w:p w:rsidR="00A343BD" w:rsidRDefault="00A343BD"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BD" w:rsidRDefault="00A343BD" w:rsidP="005146DA">
      <w:pPr>
        <w:spacing w:after="0" w:line="240" w:lineRule="auto"/>
      </w:pPr>
      <w:r>
        <w:separator/>
      </w:r>
    </w:p>
  </w:footnote>
  <w:footnote w:type="continuationSeparator" w:id="0">
    <w:p w:rsidR="00A343BD" w:rsidRDefault="00A343BD"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015CFD">
          <w:rPr>
            <w:rStyle w:val="BodyChar"/>
            <w:rFonts w:cstheme="majorBidi"/>
            <w:color w:val="074F6A"/>
            <w:sz w:val="18"/>
            <w:vertAlign w:val="subscript"/>
          </w:rPr>
          <w:t>1991</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015CFD" w:rsidRPr="00015CFD">
          <w:rPr>
            <w:rStyle w:val="BodyChar"/>
            <w:rFonts w:cstheme="majorBidi"/>
            <w:noProof/>
            <w:color w:val="074F6A"/>
            <w:vertAlign w:val="subscript"/>
          </w:rPr>
          <w:t>8</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015CFD" w:rsidRPr="00015CFD">
      <w:rPr>
        <w:rFonts w:ascii="Plantagenet Cherokee" w:hAnsi="Plantagenet Cherokee"/>
        <w:color w:val="0B769F" w:themeColor="accent4" w:themeShade="BF"/>
        <w:sz w:val="14"/>
        <w:szCs w:val="14"/>
      </w:rPr>
      <w:t>10.61919/jhrr.v6i3.1991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733"/>
    <w:multiLevelType w:val="multilevel"/>
    <w:tmpl w:val="6954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E1986"/>
    <w:multiLevelType w:val="hybridMultilevel"/>
    <w:tmpl w:val="D332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A47B94"/>
    <w:multiLevelType w:val="hybridMultilevel"/>
    <w:tmpl w:val="627A6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9">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9"/>
  </w:num>
  <w:num w:numId="4">
    <w:abstractNumId w:val="14"/>
  </w:num>
  <w:num w:numId="5">
    <w:abstractNumId w:val="15"/>
  </w:num>
  <w:num w:numId="6">
    <w:abstractNumId w:val="6"/>
  </w:num>
  <w:num w:numId="7">
    <w:abstractNumId w:val="17"/>
  </w:num>
  <w:num w:numId="8">
    <w:abstractNumId w:val="11"/>
  </w:num>
  <w:num w:numId="9">
    <w:abstractNumId w:val="2"/>
  </w:num>
  <w:num w:numId="10">
    <w:abstractNumId w:val="13"/>
  </w:num>
  <w:num w:numId="11">
    <w:abstractNumId w:val="4"/>
  </w:num>
  <w:num w:numId="12">
    <w:abstractNumId w:val="1"/>
  </w:num>
  <w:num w:numId="13">
    <w:abstractNumId w:val="7"/>
  </w:num>
  <w:num w:numId="14">
    <w:abstractNumId w:val="10"/>
  </w:num>
  <w:num w:numId="15">
    <w:abstractNumId w:val="18"/>
  </w:num>
  <w:num w:numId="16">
    <w:abstractNumId w:val="12"/>
  </w:num>
  <w:num w:numId="17">
    <w:abstractNumId w:val="0"/>
  </w:num>
  <w:num w:numId="18">
    <w:abstractNumId w:val="5"/>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63"/>
    <w:rsid w:val="000043F0"/>
    <w:rsid w:val="00004CC0"/>
    <w:rsid w:val="000061B5"/>
    <w:rsid w:val="0000693F"/>
    <w:rsid w:val="000078EA"/>
    <w:rsid w:val="000100BB"/>
    <w:rsid w:val="00012950"/>
    <w:rsid w:val="00012F54"/>
    <w:rsid w:val="000139DB"/>
    <w:rsid w:val="000148AB"/>
    <w:rsid w:val="00015BB5"/>
    <w:rsid w:val="00015CFD"/>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43"/>
    <w:rsid w:val="00046C7C"/>
    <w:rsid w:val="0004774C"/>
    <w:rsid w:val="00051F5C"/>
    <w:rsid w:val="000529A5"/>
    <w:rsid w:val="00053EFB"/>
    <w:rsid w:val="00055152"/>
    <w:rsid w:val="000566F8"/>
    <w:rsid w:val="00057EC7"/>
    <w:rsid w:val="00061461"/>
    <w:rsid w:val="0006178B"/>
    <w:rsid w:val="00063B00"/>
    <w:rsid w:val="00063CBB"/>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5E1F"/>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D96"/>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0735"/>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13B"/>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1FF"/>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0576"/>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D04"/>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43BD"/>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87786"/>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19DC"/>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47F3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5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561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1B63"/>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24E"/>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5:chartTrackingRefBased/>
  <w15:docId w15:val="{95FFE5E8-DE86-4755-A014-4A170A57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8454-6DE7-4B15-8C37-7E6E3133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144</TotalTime>
  <Pages>8</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6</cp:revision>
  <cp:lastPrinted>2026-04-24T11:38:00Z</cp:lastPrinted>
  <dcterms:created xsi:type="dcterms:W3CDTF">2026-05-28T22:03:00Z</dcterms:created>
  <dcterms:modified xsi:type="dcterms:W3CDTF">2026-06-03T08:58:00Z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