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5C4F64" w:rsidRPr="00BB7230" w:rsidRDefault="00F86C40" w:rsidP="00335DDB">
      <w:pPr>
        <w:pStyle w:val="Body"/>
        <w:tabs>
          <w:tab w:val="left" w:pos="3888"/>
        </w:tabs>
        <w:spacing w:line="240" w:lineRule="auto"/>
        <w:rPr>
          <w:rFonts w:cstheme="majorBidi"/>
          <w:b/>
          <w:bCs/>
          <w:color w:val="000000" w:themeColor="text1"/>
          <w:sz w:val="36"/>
          <w:szCs w:val="36"/>
        </w:rPr>
      </w:pPr>
      <w:r w:rsidRPr="00F86C40">
        <w:rPr>
          <w:rFonts w:cstheme="majorBidi"/>
          <w:b/>
          <w:bCs/>
          <w:color w:val="000000" w:themeColor="text1"/>
          <w:sz w:val="36"/>
          <w:szCs w:val="36"/>
          <w:lang w:val="en-GB"/>
        </w:rPr>
        <w:t xml:space="preserve">Caregiver Burden </w:t>
      </w:r>
      <w:proofErr w:type="gramStart"/>
      <w:r w:rsidRPr="00F86C40">
        <w:rPr>
          <w:rFonts w:cstheme="majorBidi"/>
          <w:b/>
          <w:bCs/>
          <w:color w:val="000000" w:themeColor="text1"/>
          <w:sz w:val="36"/>
          <w:szCs w:val="36"/>
          <w:lang w:val="en-GB"/>
        </w:rPr>
        <w:t>And</w:t>
      </w:r>
      <w:proofErr w:type="gramEnd"/>
      <w:r w:rsidRPr="00F86C40">
        <w:rPr>
          <w:rFonts w:cstheme="majorBidi"/>
          <w:b/>
          <w:bCs/>
          <w:color w:val="000000" w:themeColor="text1"/>
          <w:sz w:val="36"/>
          <w:szCs w:val="36"/>
          <w:lang w:val="en-GB"/>
        </w:rPr>
        <w:t xml:space="preserve"> Psychological Distress Among Family Caregivers Of Patients With Chronic Neurological Illness: A Mixed-Methods Study At Central Park Teaching Hospital</w:t>
      </w:r>
    </w:p>
    <w:p w:rsidR="00E202E9" w:rsidRPr="00BB7230" w:rsidRDefault="00F86C40" w:rsidP="007C1877">
      <w:pPr>
        <w:pStyle w:val="Body"/>
        <w:spacing w:before="75" w:after="100"/>
        <w:rPr>
          <w:rFonts w:cstheme="majorBidi"/>
          <w:b/>
          <w:bCs/>
          <w:color w:val="074F6A" w:themeColor="accent4" w:themeShade="80"/>
          <w:sz w:val="24"/>
          <w:szCs w:val="24"/>
        </w:rPr>
      </w:pPr>
      <w:proofErr w:type="spellStart"/>
      <w:r>
        <w:rPr>
          <w:rFonts w:cstheme="majorBidi"/>
          <w:b/>
          <w:bCs/>
          <w:color w:val="074F6A" w:themeColor="accent4" w:themeShade="80"/>
          <w:sz w:val="24"/>
          <w:szCs w:val="24"/>
          <w:lang w:val="en-GB"/>
        </w:rPr>
        <w:t>Dr.</w:t>
      </w:r>
      <w:r w:rsidRPr="00F86C40">
        <w:rPr>
          <w:rFonts w:cstheme="majorBidi"/>
          <w:b/>
          <w:bCs/>
          <w:color w:val="074F6A" w:themeColor="accent4" w:themeShade="80"/>
          <w:sz w:val="24"/>
          <w:szCs w:val="24"/>
          <w:lang w:val="en-GB"/>
        </w:rPr>
        <w:t>Sara</w:t>
      </w:r>
      <w:proofErr w:type="spellEnd"/>
      <w:r w:rsidRPr="00F86C40">
        <w:rPr>
          <w:rFonts w:cstheme="majorBidi"/>
          <w:b/>
          <w:bCs/>
          <w:color w:val="074F6A" w:themeColor="accent4" w:themeShade="80"/>
          <w:sz w:val="24"/>
          <w:szCs w:val="24"/>
          <w:lang w:val="en-GB"/>
        </w:rPr>
        <w:t xml:space="preserve"> Fatima </w:t>
      </w:r>
      <w:r w:rsidR="007C1877" w:rsidRPr="007C1877">
        <w:rPr>
          <w:rFonts w:cstheme="majorBidi"/>
          <w:b/>
          <w:bCs/>
          <w:color w:val="074F6A" w:themeColor="accent4" w:themeShade="80"/>
          <w:sz w:val="24"/>
          <w:szCs w:val="24"/>
        </w:rPr>
        <w:t>¹</w:t>
      </w:r>
    </w:p>
    <w:p w:rsidR="00607EA1" w:rsidRPr="00BB7230" w:rsidRDefault="00D97670" w:rsidP="008A157F">
      <w:pPr>
        <w:pStyle w:val="Body"/>
        <w:tabs>
          <w:tab w:val="left" w:pos="7320"/>
        </w:tabs>
        <w:spacing w:before="75" w:after="75" w:line="240" w:lineRule="auto"/>
        <w:rPr>
          <w:rFonts w:cstheme="majorBidi"/>
          <w:color w:val="000000" w:themeColor="text1"/>
          <w:sz w:val="18"/>
          <w:szCs w:val="16"/>
        </w:rPr>
      </w:pPr>
      <w:r>
        <w:rPr>
          <w:rFonts w:cstheme="majorBidi"/>
          <w:color w:val="000000" w:themeColor="text1"/>
          <w:sz w:val="18"/>
          <w:szCs w:val="16"/>
        </w:rPr>
        <w:t>¹University of Management and Science</w:t>
      </w:r>
      <w:r w:rsidR="00F86C40">
        <w:rPr>
          <w:rFonts w:cstheme="majorBidi"/>
          <w:color w:val="000000" w:themeColor="text1"/>
          <w:sz w:val="18"/>
          <w:szCs w:val="16"/>
        </w:rPr>
        <w:t>, Lahore</w:t>
      </w:r>
      <w:r w:rsidR="007C1877" w:rsidRPr="007C1877">
        <w:rPr>
          <w:rFonts w:cstheme="majorBidi"/>
          <w:color w:val="000000" w:themeColor="text1"/>
          <w:sz w:val="18"/>
          <w:szCs w:val="16"/>
        </w:rPr>
        <w:t>, Pakistan</w:t>
      </w:r>
      <w:r w:rsidR="008A157F">
        <w:rPr>
          <w:rFonts w:cstheme="majorBidi"/>
          <w:color w:val="000000" w:themeColor="text1"/>
          <w:sz w:val="18"/>
          <w:szCs w:val="16"/>
        </w:rPr>
        <w:tab/>
      </w:r>
      <w:bookmarkStart w:id="0" w:name="_GoBack"/>
      <w:bookmarkEnd w:id="0"/>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075918">
        <w:rPr>
          <w:rFonts w:cstheme="majorBidi"/>
          <w:b/>
          <w:bCs/>
          <w:color w:val="074F6A" w:themeColor="accent4" w:themeShade="80"/>
          <w:sz w:val="18"/>
          <w:szCs w:val="16"/>
          <w:lang w:val="pt-BR"/>
        </w:rPr>
        <w:t>Dr. Sara Fatima</w:t>
      </w:r>
      <w:r w:rsidR="007C1877" w:rsidRPr="007C1877">
        <w:rPr>
          <w:rFonts w:cstheme="majorBidi"/>
          <w:b/>
          <w:bCs/>
          <w:color w:val="074F6A" w:themeColor="accent4" w:themeShade="80"/>
          <w:sz w:val="18"/>
          <w:szCs w:val="16"/>
          <w:lang w:val="pt-BR"/>
        </w:rPr>
        <w:t xml:space="preserve">, </w:t>
      </w:r>
      <w:r w:rsidR="00075918" w:rsidRPr="00075918">
        <w:rPr>
          <w:rFonts w:cstheme="majorBidi"/>
          <w:b/>
          <w:bCs/>
          <w:color w:val="074F6A" w:themeColor="accent4" w:themeShade="80"/>
          <w:sz w:val="18"/>
          <w:szCs w:val="16"/>
          <w:lang w:val="en-GB"/>
        </w:rPr>
        <w:t>sarah.fatima0609@gmail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January</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February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31 March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075918">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SF; Design: SF; Data Collection: SF; Analysis: SF; Drafting: SF</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744114">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Central Park</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F86C40">
      <w:pPr>
        <w:pStyle w:val="Heading1"/>
      </w:pPr>
      <w:r w:rsidRPr="00BB7230">
        <w:t>Abstract</w:t>
      </w:r>
    </w:p>
    <w:p w:rsidR="00F86C40" w:rsidRPr="00F86C40" w:rsidRDefault="00F86C40" w:rsidP="00F86C40">
      <w:pPr>
        <w:pStyle w:val="Body"/>
      </w:pPr>
      <w:r w:rsidRPr="00F86C40">
        <w:t xml:space="preserve">Background: Chronic neurological illnesses impose substantial physical, emotional, psychological, and socioeconomic burdens on informal family caregivers, particularly in low- and middle-income countries where family-centered caregiving predominates. Despite growing international evidence regarding caregiver distress in neurodegenerative disorders, limited mixed-methods data are available from Pakistani tertiary-care settings. Objective: To evaluate caregiver burden, psychological distress, and associated predictors of adverse caregiver outcomes among family caregivers of patients with chronic neurological illness at Central Park Teaching Hospital. Methods: A mixed-methods cross-sectional observational study was conducted among 93 family caregivers of patients with chronic neurological disorders. Quantitative assessment included caregiver burden, anxiety, depression, sleep quality, resilience, and quality-of-life measures, while qualitative interviews were conducted among purposively selected participants to explore caregiving experiences. Descriptive statistics and logistic regression analyses were used to identify predictors of poor caregiver outcomes. Results: Moderate-to-severe </w:t>
      </w:r>
      <w:proofErr w:type="gramStart"/>
      <w:r w:rsidRPr="00F86C40">
        <w:t>caregiver</w:t>
      </w:r>
      <w:proofErr w:type="gramEnd"/>
      <w:r w:rsidRPr="00F86C40">
        <w:t xml:space="preserve"> burden was identified in 61.3% of caregivers, while clinically significant anxiety and depression were observed in 44.1% and 40.9% of participants, respectively. Neuropsychiatric symptoms in care recipients independently predicted adverse caregiver outcomes (OR 2.84, 95% CI 1.52–5.31, p&lt;0.001). Functional dependency (OR 2.36, 95% CI 1.24–4.48, p=0.008), caregiving duration exceeding 8 hours daily (OR 2.11, 95% CI 1.10–4.03, p=0.021), poor sleep quality (OR 1.94, 95% CI 1.01–3.72, p=0.041), and reduced resilience (OR 1.88, 95% CI 1.02–3.46, p=0.038) were also significantly associated with poor caregiver outcomes. Qualitative findings highlighted emotional exhaustion, social isolation, financial strain, and inadequate psychosocial support as major caregiving challenges. Conclusion: Family caregivers of patients with chronic neurological illness experience substantial multidimensional burden characterized by psychological distress, impaired sleep, and reduced quality of life. Caregiver-focused multidisciplinary interventions, psychological screening, and resilience-based support strategies should be integrated into tertiary neurological care services in Pakistan. Keywords: caregiver burden; chronic neurological illness; neurodegenerative disease; psychological distress; mixed-methods; tertiary care; Pakistan; caregiver resilience.</w:t>
      </w:r>
    </w:p>
    <w:p w:rsidR="00F86C40" w:rsidRPr="00F86C40" w:rsidRDefault="00F86C40" w:rsidP="00F86C40">
      <w:pPr>
        <w:pStyle w:val="Body"/>
      </w:pPr>
    </w:p>
    <w:p w:rsidR="00F86C40" w:rsidRPr="00F86C40" w:rsidRDefault="00F86C40" w:rsidP="00F86C40">
      <w:pPr>
        <w:pStyle w:val="Heading1"/>
      </w:pPr>
      <w:r w:rsidRPr="00F86C40">
        <w:t>Introduction</w:t>
      </w:r>
    </w:p>
    <w:p w:rsidR="00F86C40" w:rsidRPr="00F86C40" w:rsidRDefault="00F86C40" w:rsidP="00F86C40">
      <w:pPr>
        <w:pStyle w:val="Body"/>
      </w:pPr>
      <w:r w:rsidRPr="00F86C40">
        <w:t>Chronic neurological illnesses such as Parkinson’s disease, multiple sclerosis, amyotrophic lateral sclerosis, Huntington’s disease, dementia, and other neurodegenerative disorders are increasingly recognized as major contributors to long-term disability, functional dependency, and healthcare burden worldwide. These disorders often progress gradually and require prolonged physical, emotional, cognitive, and financial support from informal family caregivers, who frequently assume extensive caregiving responsibilities without formal training or institutional support (1</w:t>
      </w:r>
      <w:proofErr w:type="gramStart"/>
      <w:r w:rsidRPr="00F86C40">
        <w:t>,2</w:t>
      </w:r>
      <w:proofErr w:type="gramEnd"/>
      <w:r w:rsidRPr="00F86C40">
        <w:t xml:space="preserve">). In many low- and middle-income countries, including Pakistan, family-centered caregiving remains the cornerstone of chronic neurological care because of limited rehabilitation infrastructure, inadequate long-term care facilities, and restricted access to community-based support services. Consequently, caregivers frequently experience substantial psychological distress, social isolation, financial strain, sleep </w:t>
      </w:r>
      <w:r w:rsidRPr="00F86C40">
        <w:lastRenderedPageBreak/>
        <w:t>impairment, and deterioration in quality of life while simultaneously managing complex patient-related neuropsychiatric and functional needs (3</w:t>
      </w:r>
      <w:proofErr w:type="gramStart"/>
      <w:r w:rsidRPr="00F86C40">
        <w:t>,4</w:t>
      </w:r>
      <w:proofErr w:type="gramEnd"/>
      <w:r w:rsidRPr="00F86C40">
        <w:t>).</w:t>
      </w:r>
    </w:p>
    <w:p w:rsidR="00F86C40" w:rsidRPr="00F86C40" w:rsidRDefault="00F86C40" w:rsidP="00F86C40">
      <w:pPr>
        <w:pStyle w:val="Body"/>
      </w:pPr>
      <w:r w:rsidRPr="00F86C40">
        <w:t>Caregiver burden is a multidimensional construct encompassing physical, emotional, social, economic, and psychological stress experienced while caring for chronically ill individuals. Previous international studies have demonstrated that caregivers of patients with chronic neurological disorders exhibit significantly higher levels of anxiety, depression, burnout, fatigue, and reduced health-related quality of life compared with the general population (5</w:t>
      </w:r>
      <w:proofErr w:type="gramStart"/>
      <w:r w:rsidRPr="00F86C40">
        <w:t>,6</w:t>
      </w:r>
      <w:proofErr w:type="gramEnd"/>
      <w:r w:rsidRPr="00F86C40">
        <w:t xml:space="preserve">). Neuropsychiatric manifestations in patients, including behavioral disturbances, cognitive decline, hallucinations, irritability, and emotional </w:t>
      </w:r>
      <w:proofErr w:type="spellStart"/>
      <w:r w:rsidRPr="00F86C40">
        <w:t>dysregulation</w:t>
      </w:r>
      <w:proofErr w:type="spellEnd"/>
      <w:r w:rsidRPr="00F86C40">
        <w:t>, have consistently emerged as major determinants of caregiver burden across neurological illnesses (7). Similarly, progressive functional dependency and increasing caregiving intensity have been associated with worsening psychological outcomes among caregivers, particularly among spouses and elderly family members who provide prolonged daily care (8</w:t>
      </w:r>
      <w:proofErr w:type="gramStart"/>
      <w:r w:rsidRPr="00F86C40">
        <w:t>,9</w:t>
      </w:r>
      <w:proofErr w:type="gramEnd"/>
      <w:r w:rsidRPr="00F86C40">
        <w:t>).</w:t>
      </w:r>
    </w:p>
    <w:p w:rsidR="00F86C40" w:rsidRPr="00F86C40" w:rsidRDefault="00F86C40" w:rsidP="00F86C40">
      <w:pPr>
        <w:pStyle w:val="Body"/>
      </w:pPr>
      <w:r w:rsidRPr="00F86C40">
        <w:t>Recent evidence suggests that caregiver burden extends beyond emotional exhaustion and substantially affects caregivers’ physical health, occupational functioning, interpersonal relationships, and socioeconomic stability. Studies conducted among caregivers of patients with Parkinson’s disease, multiple sclerosis, and amyotrophic lateral sclerosis have reported high prevalence rates of depressive symptoms, chronic fatigue, musculoskeletal pain, sleep disturbances, and impaired coping mechanisms (10–12). Additionally, prolonged caregiving duration and increasing disease severity have been linked to reduced resilience and psychological flexibility, which may further exacerbate vulnerability to adverse mental health outcomes (13). Emerging literature has also highlighted the potential protective role of mindfulness, resilience, adaptive coping strategies, and psychosocial support systems in mitigating caregiver distress and improving overall well-being (14</w:t>
      </w:r>
      <w:proofErr w:type="gramStart"/>
      <w:r w:rsidRPr="00F86C40">
        <w:t>,15</w:t>
      </w:r>
      <w:proofErr w:type="gramEnd"/>
      <w:r w:rsidRPr="00F86C40">
        <w:t>).</w:t>
      </w:r>
    </w:p>
    <w:p w:rsidR="00F86C40" w:rsidRPr="00F86C40" w:rsidRDefault="00F86C40" w:rsidP="00F86C40">
      <w:pPr>
        <w:pStyle w:val="Body"/>
      </w:pPr>
      <w:r w:rsidRPr="00F86C40">
        <w:t>Despite growing international literature, evidence from South Asian populations remains comparatively limited, particularly regarding multidimensional caregiver experiences in chronic neurological illness. Cultural expectations, family structures, gender roles, financial limitations, and healthcare accessibility differ substantially between Western and South Asian settings and may significantly influence caregiver burden and coping behaviors (16). In Pakistan, caregivers frequently assume near-complete responsibility for patient management because of inadequate institutional caregiving support, limited neurological rehabilitation services, and restricted mental health resources. However, local data evaluating the psychosocial and clinical impact of caregiving in chronic neurological disease remain scarce, with most available studies focusing primarily on single diseases or purely quantitative assessments. Furthermore, few regional studies have integrated qualitative exploration of caregiver experiences alongside quantitative clinical evaluation, limiting comprehensive understanding of the lived experiences and contextual challenges faced by caregivers in tertiary care settings.</w:t>
      </w:r>
    </w:p>
    <w:p w:rsidR="00F86C40" w:rsidRPr="00F86C40" w:rsidRDefault="00F86C40" w:rsidP="00F86C40">
      <w:pPr>
        <w:pStyle w:val="Body"/>
      </w:pPr>
      <w:r w:rsidRPr="00F86C40">
        <w:t>Mixed-methods research provides a more comprehensive framework for understanding caregiver burden by integrating measurable clinical outcomes with subjective lived experiences and psychosocial narratives. Quantitative analyses enable identification of predictors and prevalence patterns, whereas qualitative exploration provides insight into emotional adaptation, social challenges, coping mechanisms, and unmet support needs that may not be adequately captured through standardized scales alone (17,18). Integrating these approaches is particularly important in chronic neurological illness, where caregiver experiences are often dynamic, multidimensional, and heavily influenced by sociocultural context.</w:t>
      </w:r>
    </w:p>
    <w:p w:rsidR="00F86C40" w:rsidRPr="00F86C40" w:rsidRDefault="00F86C40" w:rsidP="00F86C40">
      <w:pPr>
        <w:pStyle w:val="Body"/>
      </w:pPr>
      <w:r w:rsidRPr="00F86C40">
        <w:t>Although previous international studies have identified associations between caregiver burden and factors such as neuropsychiatric symptoms, caregiving intensity, sleep impairment, and reduced resilience, there remains limited evidence regarding these relationships within Pakistani tertiary care neurological settings. Moreover, the interaction between psychological distress, caregiver burden, and patient-related clinical characteristics has not been sufficiently explored in local populations. Addressing these gaps is essential for developing culturally appropriate caregiver-centered interventions and informing multidisciplinary neurological care models in resource-limited healthcare systems.</w:t>
      </w:r>
    </w:p>
    <w:p w:rsidR="00F86C40" w:rsidRPr="00F86C40" w:rsidRDefault="00F86C40" w:rsidP="00F86C40">
      <w:pPr>
        <w:pStyle w:val="Body"/>
      </w:pPr>
      <w:r w:rsidRPr="00F86C40">
        <w:t xml:space="preserve">Therefore, the present study aimed to evaluate caregiver burden, psychological distress, and associated clinical predictors among family caregivers of patients with chronic neurological illness at Central Park Teaching Hospital, using a mixed-methods approach integrating quantitative clinical assessment with qualitative exploration of caregiver experiences. It was hypothesized that higher caregiving intensity, neuropsychiatric symptoms in care recipients, poor sleep quality, and reduced psychological resilience would be significantly associated with adverse caregiver outcomes and increased caregiver burden. </w:t>
      </w:r>
    </w:p>
    <w:p w:rsidR="00F86C40" w:rsidRPr="00F86C40" w:rsidRDefault="00F86C40" w:rsidP="00F86C40">
      <w:pPr>
        <w:pStyle w:val="Body"/>
      </w:pPr>
      <w:r w:rsidRPr="00F86C40">
        <w:lastRenderedPageBreak/>
        <w:t xml:space="preserve">Material and </w:t>
      </w:r>
      <w:proofErr w:type="spellStart"/>
      <w:r w:rsidRPr="00F86C40">
        <w:t>merthods</w:t>
      </w:r>
      <w:proofErr w:type="spellEnd"/>
    </w:p>
    <w:p w:rsidR="00F86C40" w:rsidRPr="00F86C40" w:rsidRDefault="00F86C40" w:rsidP="00F86C40">
      <w:pPr>
        <w:pStyle w:val="Body"/>
      </w:pPr>
      <w:r w:rsidRPr="00F86C40">
        <w:t xml:space="preserve">A mixed-methods cross-sectional observational study was conducted at Central Park Teaching Hospital, Pakistan, to evaluate caregiver burden, psychological distress, and associated clinical predictors among family caregivers of patients with chronic neurological illness. The study used a convergent mixed-methods design in which quantitative caregiver and patient-related variables were assessed alongside qualitative interviews to provide contextual understanding of caregiver experiences. The quantitative component included 93 family caregivers, while the qualitative component included 7 purposively selected caregivers for in-depth interviews, consistent with the dataset structure of 93 enrolled caregivers and 7 qualitative interview participants. </w:t>
      </w:r>
    </w:p>
    <w:p w:rsidR="00F86C40" w:rsidRPr="00F86C40" w:rsidRDefault="00F86C40" w:rsidP="00F86C40">
      <w:pPr>
        <w:pStyle w:val="Body"/>
      </w:pPr>
      <w:r w:rsidRPr="00F86C40">
        <w:t>Eligible participants were adult family caregivers who were directly involved in the care of patients with chronic neurological illness and who had provided regular caregiving support for a sustained period. Caregivers were included if they were spouses, adult children, or other family members responsible for daily care activities, treatment supervision, hospital visits, medication support, or functional assistance. Caregivers were excluded if they were paid professional attendants, temporary caregivers, unable to provide informed consent, or unable to complete study assessments because of severe cognitive, psychiatric, or communication limitations. Participants were recruited from neurology-related inpatient and outpatient services through consecutive sampling, and informed written consent was obtained before data collection.</w:t>
      </w:r>
    </w:p>
    <w:p w:rsidR="00F86C40" w:rsidRPr="00F86C40" w:rsidRDefault="00F86C40" w:rsidP="00F86C40">
      <w:pPr>
        <w:pStyle w:val="Body"/>
      </w:pPr>
      <w:r w:rsidRPr="00F86C40">
        <w:t xml:space="preserve">Data were collected using a structured </w:t>
      </w:r>
      <w:proofErr w:type="spellStart"/>
      <w:r w:rsidRPr="00F86C40">
        <w:t>proforma</w:t>
      </w:r>
      <w:proofErr w:type="spellEnd"/>
      <w:r w:rsidRPr="00F86C40">
        <w:t xml:space="preserve"> containing caregiver demographic characteristics, caregiving relationship, co-residence status, </w:t>
      </w:r>
      <w:proofErr w:type="gramStart"/>
      <w:r w:rsidRPr="00F86C40">
        <w:t>employment</w:t>
      </w:r>
      <w:proofErr w:type="gramEnd"/>
      <w:r w:rsidRPr="00F86C40">
        <w:t xml:space="preserve"> status, duration of caregiving, daily caregiving time, and care recipient clinical characteristics. The primary outcome was caregiver burden, assessed using the Caregiver Burden Inventory score, with high caregiver burden operationalized as CBI &gt;50. Psychological outcomes included anxiety symptoms, depressive symptoms, poor sleep quality, caregiver burnout, reduced health-related quality of life, and self-reported decline in caregiver health. Patient-related variables included disease duration, cognitive impairment, functional dependency, neuropsychiatric symptoms, and hospitalization during the study period. The dataset recorded mean caregiver age as 56.8 ± 9.4 years, mean caregiving duration as 6.8 ± 3.2 years, mean care recipient disease duration as 7.9 ± 3.1 years, and mean CBI score as 51.4 ± 16.8, supporting the assessment of long-term caregiver exposure and burden severity. </w:t>
      </w:r>
    </w:p>
    <w:p w:rsidR="00F86C40" w:rsidRPr="00F86C40" w:rsidRDefault="00F86C40" w:rsidP="00F86C40">
      <w:pPr>
        <w:pStyle w:val="Body"/>
      </w:pPr>
      <w:r w:rsidRPr="00F86C40">
        <w:t>Operational definitions were standardized before analysis. Moderate-to-severe caregiver burden was defined according to elevated caregiver burden scoring, while high caregiver burden was defined as CBI &gt;50. High caregiving intensity was defined as daily caregiving exceeding 8 hours. Poor clinical caregiver outcome was considered a composite adverse profile including high caregiver burden, clinically significant anxiety or depression, poor sleep quality, reduced health-related quality of life, caregiver burnout, or self-reported decline in caregiver health. Patient neuropsychiatric symptoms, cognitive impairment, and functional dependency were treated as key explanatory variables because prior literature has consistently linked these domains with caregiver distress and adverse psychological outcomes (19–21).</w:t>
      </w:r>
    </w:p>
    <w:p w:rsidR="00F86C40" w:rsidRPr="00F86C40" w:rsidRDefault="00F86C40" w:rsidP="00F86C40">
      <w:pPr>
        <w:pStyle w:val="Body"/>
      </w:pPr>
      <w:r w:rsidRPr="00F86C40">
        <w:t>The qualitative component was conducted through semi-structured interviews with selected caregivers representing variation in sex, caregiving relationship, caregiving duration, and burden severity. Interviews explored emotional strain, physical exhaustion, sleep disruption, social isolation, financial pressure, coping strategies, perceived family support, unmet healthcare needs, and expectations from tertiary neurological services. Interview data were reviewed thematically, and recurrent patterns were integrated with quantitative findings to enrich interpretation of caregiver burden, psychological distress, and contextual challenges in a Pakistani tertiary-care setting.</w:t>
      </w:r>
    </w:p>
    <w:p w:rsidR="00F86C40" w:rsidRPr="00F86C40" w:rsidRDefault="00F86C40" w:rsidP="00F86C40">
      <w:pPr>
        <w:pStyle w:val="Body"/>
      </w:pPr>
      <w:r w:rsidRPr="00F86C40">
        <w:t>Potential bias and confounding were addressed through predefined eligibility criteria, consecutive recruitment, uniform data collection procedures, standardized operational definitions, and multivariable regression analysis. Confounding variables considered in analysis included caregiver sex, caregiving duration, daily caregiving intensity, caregiver depressive symptoms, anxiety symptoms, sleep quality, resilience or mindfulness status, patient cognitive impairment, functional dependency, and neuropsychiatric symptoms. To improve data quality, completed forms were reviewed for internal consistency, missing responses, and range errors before analysis.</w:t>
      </w:r>
    </w:p>
    <w:p w:rsidR="00F86C40" w:rsidRPr="00F86C40" w:rsidRDefault="00F86C40" w:rsidP="00F86C40">
      <w:pPr>
        <w:pStyle w:val="Body"/>
      </w:pPr>
      <w:r w:rsidRPr="00F86C40">
        <w:t xml:space="preserve">The sample size consisted of 93 caregivers, which was considered adequate for estimating the prevalence of caregiver burden and exploring clinically relevant predictors within a tertiary-care neurology population. The qualitative sample of 7 interviews was used to achieve focused thematic depth and contextual interpretation of quantitative findings. Quantitative data were analyzed using descriptive and inferential statistics. Continuous </w:t>
      </w:r>
      <w:r w:rsidRPr="00F86C40">
        <w:lastRenderedPageBreak/>
        <w:t>variables were summarized as mean ± standard deviation, while categorical variables were reported as frequencies and percentages. Associations between caregiver outcomes and clinical predictors were assessed using odds ratios with 95% confidence intervals and p-values. Variables with clinical relevance and statistical association were entered into regression models to identify independent predictors of poor caregiver outcome. A p-value &lt;0.05 was considered statistically significant.</w:t>
      </w:r>
    </w:p>
    <w:p w:rsidR="00F86C40" w:rsidRPr="00F86C40" w:rsidRDefault="00F86C40" w:rsidP="00F86C40">
      <w:pPr>
        <w:pStyle w:val="Body"/>
      </w:pPr>
      <w:r w:rsidRPr="00F86C40">
        <w:t xml:space="preserve">Ethical approval was obtained from the relevant institutional review body, and all participants provided informed consent before enrollment. Confidentiality was maintained by </w:t>
      </w:r>
      <w:proofErr w:type="spellStart"/>
      <w:r w:rsidRPr="00F86C40">
        <w:t>anonymizing</w:t>
      </w:r>
      <w:proofErr w:type="spellEnd"/>
      <w:r w:rsidRPr="00F86C40">
        <w:t xml:space="preserve"> participant information and restricting access to study data. The study followed principles of voluntary participation, privacy protection, </w:t>
      </w:r>
      <w:proofErr w:type="spellStart"/>
      <w:r w:rsidRPr="00F86C40">
        <w:t>nonmaleficence</w:t>
      </w:r>
      <w:proofErr w:type="spellEnd"/>
      <w:r w:rsidRPr="00F86C40">
        <w:t>, and data integrity. Quantitative and qualitative records were checked for completeness, stored securely, and analyzed using reproducible coding and statistical procedures to ensure transparency and reliability.</w:t>
      </w:r>
    </w:p>
    <w:p w:rsidR="00F86C40" w:rsidRPr="00F86C40" w:rsidRDefault="00F86C40" w:rsidP="00F86C40">
      <w:pPr>
        <w:pStyle w:val="Heading1"/>
      </w:pPr>
      <w:r w:rsidRPr="00F86C40">
        <w:t>Results</w:t>
      </w:r>
    </w:p>
    <w:p w:rsidR="00F86C40" w:rsidRPr="00F86C40" w:rsidRDefault="00F86C40" w:rsidP="00F86C40">
      <w:pPr>
        <w:pStyle w:val="Body"/>
      </w:pPr>
      <w:r w:rsidRPr="00F86C40">
        <w:t xml:space="preserve">A total of 93 family caregivers of patients with chronic neurological illness were enrolled in the quantitative component of the study, while 7 caregivers participated in qualitative interviews. The mean caregiver age was 56.8 ± 9.4 years. Female caregivers constituted the majority of participants (72.0%), and spouses or partners represented the predominant caregiving relationship (71.0%). Most caregivers lived with the care recipient (66.7%), and the mean duration of caregiving was 6.8 ± 3.2 years. More than half of the caregivers reported providing care for over 8 hours daily (51.6%), reflecting high caregiving intensity. The mean duration of neurological illness among care recipients was 7.9 ± 3.1 years. Mean Caregiver Burden Inventory (CBI) score was 51.4 ± 16.8, indicating substantial burden severity across the study population. Anxiety or depressive symptoms were observed in 45.2% of caregivers, while poor sleep quality affected 41.9% of participants. Detailed baseline demographic and clinical characteristics are presented in Table 1. </w:t>
      </w:r>
    </w:p>
    <w:p w:rsidR="00F86C40" w:rsidRPr="00F86C40" w:rsidRDefault="00F86C40" w:rsidP="00F86C40">
      <w:pPr>
        <w:pStyle w:val="Caption"/>
      </w:pPr>
      <w:r w:rsidRPr="00F86C40">
        <w:t>Table 1. Baseline Demographic and Clinical Characteristics of Caregivers (n = 93)</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0"/>
        <w:gridCol w:w="628"/>
        <w:gridCol w:w="2199"/>
      </w:tblGrid>
      <w:tr w:rsidR="00F86C40" w:rsidRPr="00F86C40" w:rsidTr="00F86C40">
        <w:tc>
          <w:tcPr>
            <w:tcW w:w="3434"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Variable</w:t>
            </w:r>
          </w:p>
        </w:tc>
        <w:tc>
          <w:tcPr>
            <w:tcW w:w="348"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n</w:t>
            </w:r>
          </w:p>
        </w:tc>
        <w:tc>
          <w:tcPr>
            <w:tcW w:w="1219"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 / Mean ± SD</w:t>
            </w:r>
          </w:p>
        </w:tc>
      </w:tr>
      <w:tr w:rsidR="00F86C40" w:rsidRPr="00F86C40" w:rsidTr="00F86C40">
        <w:tc>
          <w:tcPr>
            <w:tcW w:w="3434" w:type="pct"/>
            <w:tcBorders>
              <w:top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Total caregivers enrolled</w:t>
            </w:r>
          </w:p>
        </w:tc>
        <w:tc>
          <w:tcPr>
            <w:tcW w:w="348"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219"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100%</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Qualitative interview participants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7</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7.5%</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Age, years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56.8 ± 9.4</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Female caregivers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67</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72.0%</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Male caregivers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26</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28.0%</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Spouse/partner caregivers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66</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71.0%</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Adult child caregivers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21</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22.6%</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Other family caregivers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6.4%</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Living with care recipient</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62</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66.7%</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Duration of caregiving, years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6.8 ± 3.2</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Daily caregiving time &gt;8 h/day</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48</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51.6%</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Employed caregivers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34</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36.6%</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Unemployed/retired caregivers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59</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63.4%</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Care recipient disease duration, years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7.9 ± 3.1</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Caregiver Burden Inventory score</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51.4 ± 16.8</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Neuropsychiatric symptom score</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43.8 ± 5.6</w:t>
            </w:r>
          </w:p>
        </w:tc>
      </w:tr>
      <w:tr w:rsidR="00F86C40" w:rsidRPr="00F86C40" w:rsidTr="00F86C40">
        <w:tc>
          <w:tcPr>
            <w:tcW w:w="3434"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Anxiety/depression symptoms among caregivers</w:t>
            </w:r>
          </w:p>
        </w:tc>
        <w:tc>
          <w:tcPr>
            <w:tcW w:w="348"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42</w:t>
            </w:r>
          </w:p>
        </w:tc>
        <w:tc>
          <w:tcPr>
            <w:tcW w:w="121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45.2%</w:t>
            </w:r>
          </w:p>
        </w:tc>
      </w:tr>
      <w:tr w:rsidR="00F86C40" w:rsidRPr="00F86C40" w:rsidTr="00F86C40">
        <w:tc>
          <w:tcPr>
            <w:tcW w:w="3434"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Poor sleep quality</w:t>
            </w:r>
          </w:p>
        </w:tc>
        <w:tc>
          <w:tcPr>
            <w:tcW w:w="348"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39</w:t>
            </w:r>
          </w:p>
        </w:tc>
        <w:tc>
          <w:tcPr>
            <w:tcW w:w="1219"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41.9%</w:t>
            </w:r>
          </w:p>
        </w:tc>
      </w:tr>
    </w:tbl>
    <w:p w:rsidR="00F86C40" w:rsidRPr="00F86C40" w:rsidRDefault="00BB135C" w:rsidP="00F86C40">
      <w:pPr>
        <w:pStyle w:val="Body"/>
      </w:pPr>
      <w:r>
        <w:pict>
          <v:rect id="_x0000_i1025" style="width:0;height:1.5pt" o:hralign="center" o:hrstd="t" o:hr="t" fillcolor="#a0a0a0" stroked="f"/>
        </w:pict>
      </w:r>
    </w:p>
    <w:p w:rsidR="00F86C40" w:rsidRPr="00F86C40" w:rsidRDefault="00F86C40" w:rsidP="00F86C40">
      <w:pPr>
        <w:pStyle w:val="Body"/>
      </w:pPr>
      <w:r w:rsidRPr="00F86C40">
        <w:t xml:space="preserve">Moderate-to-severe caregiver burden was identified in 61.3% of caregivers, while clinically significant depression and anxiety were reported in 41.9% and 45.2% of participants, respectively. Nearly half of caregivers experienced physical exhaustion or fatigue (47.3%), and sleep disturbance was observed in 41.9% of cases. Chronic musculoskeletal pain affected one-third of caregivers (33.3%), whereas social isolation and reduced physical functioning were reported by 30.1% and 36.6% of participants, respectively. Financial strain related to caregiving was present in 28.0% of caregivers. Among care recipients, cognitive impairment, functional dependency, and neuropsychiatric symptoms were documented in 52.7%, 58.1%, and 62.4% of cases, respectively. High caregiving intensity exceeding 8 hours daily was observed in 51.6% of participants. Low psychological flexibility and low mindfulness or resilience scores were noted in 35.5% and 32.3% of caregivers, respectively. These findings demonstrated the multidimensional physical, psychological, and social burden associated with chronic neurological caregiving. Detailed clinical comorbidities and study variables are summarized in Table 2. </w:t>
      </w:r>
    </w:p>
    <w:p w:rsidR="00F86C40" w:rsidRPr="00F86C40" w:rsidRDefault="00F86C40" w:rsidP="00F86C40">
      <w:pPr>
        <w:pStyle w:val="Caption"/>
      </w:pPr>
      <w:r w:rsidRPr="00F86C40">
        <w:t>Table 2. Clinical Comorbidities and Study Variables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3"/>
        <w:gridCol w:w="758"/>
        <w:gridCol w:w="1336"/>
      </w:tblGrid>
      <w:tr w:rsidR="00F86C40" w:rsidRPr="00F86C40" w:rsidTr="00F86C40">
        <w:tc>
          <w:tcPr>
            <w:tcW w:w="3840"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Variable</w:t>
            </w:r>
          </w:p>
        </w:tc>
        <w:tc>
          <w:tcPr>
            <w:tcW w:w="420"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n</w:t>
            </w:r>
          </w:p>
        </w:tc>
        <w:tc>
          <w:tcPr>
            <w:tcW w:w="740"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w:t>
            </w:r>
          </w:p>
        </w:tc>
      </w:tr>
      <w:tr w:rsidR="00F86C40" w:rsidRPr="00F86C40" w:rsidTr="00F86C40">
        <w:tc>
          <w:tcPr>
            <w:tcW w:w="3840" w:type="pct"/>
            <w:tcBorders>
              <w:top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Moderate-to-severe caregiver burden</w:t>
            </w:r>
          </w:p>
        </w:tc>
        <w:tc>
          <w:tcPr>
            <w:tcW w:w="420"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57</w:t>
            </w:r>
          </w:p>
        </w:tc>
        <w:tc>
          <w:tcPr>
            <w:tcW w:w="740"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61.3%</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Depressive symptoms</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39</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41.9%</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Anxiety symptoms</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42</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45.2%</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lastRenderedPageBreak/>
              <w:t>Physical exhaustion/fatigue</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44</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47.3%</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Sleep disturbance</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39</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41.9%</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Chronic musculoskeletal pain</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31</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33.3%</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Social isolation</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28</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30.1%</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Reduced physical functioning</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34</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36.6%</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Emotional role limitation</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29</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31.2%</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Financial strain related to caregiving</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26</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28.0%</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Cognitive impairment in care recipient</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49</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52.7%</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Functional dependency in care recipient</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54</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58.1%</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Neuropsychiatric symptoms in care recipient</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58</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62.4%</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High caregiving intensity (&gt;8 h/day)</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48</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51.6%</w:t>
            </w:r>
          </w:p>
        </w:tc>
      </w:tr>
      <w:tr w:rsidR="00F86C40" w:rsidRPr="00F86C40" w:rsidTr="00F86C40">
        <w:tc>
          <w:tcPr>
            <w:tcW w:w="3840"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Low psychological flexibility</w:t>
            </w:r>
          </w:p>
        </w:tc>
        <w:tc>
          <w:tcPr>
            <w:tcW w:w="42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33</w:t>
            </w:r>
          </w:p>
        </w:tc>
        <w:tc>
          <w:tcPr>
            <w:tcW w:w="740"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35.5%</w:t>
            </w:r>
          </w:p>
        </w:tc>
      </w:tr>
      <w:tr w:rsidR="00F86C40" w:rsidRPr="00F86C40" w:rsidTr="00F86C40">
        <w:tc>
          <w:tcPr>
            <w:tcW w:w="3840"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Low mindfulness/resilience scores</w:t>
            </w:r>
          </w:p>
        </w:tc>
        <w:tc>
          <w:tcPr>
            <w:tcW w:w="420"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30</w:t>
            </w:r>
          </w:p>
        </w:tc>
        <w:tc>
          <w:tcPr>
            <w:tcW w:w="740"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32.3%</w:t>
            </w:r>
          </w:p>
        </w:tc>
      </w:tr>
    </w:tbl>
    <w:p w:rsidR="00F86C40" w:rsidRPr="00F86C40" w:rsidRDefault="00BB135C" w:rsidP="00F86C40">
      <w:pPr>
        <w:pStyle w:val="Body"/>
      </w:pPr>
      <w:r>
        <w:pict>
          <v:rect id="_x0000_i1026" style="width:0;height:1.5pt" o:hralign="center" o:hrstd="t" o:hr="t" fillcolor="#a0a0a0" stroked="f"/>
        </w:pict>
      </w:r>
    </w:p>
    <w:p w:rsidR="00F86C40" w:rsidRPr="00F86C40" w:rsidRDefault="00F86C40" w:rsidP="00F86C40">
      <w:pPr>
        <w:pStyle w:val="Body"/>
      </w:pPr>
      <w:r w:rsidRPr="00F86C40">
        <w:t xml:space="preserve">Clinical outcome analysis demonstrated that high caregiver burden (CBI &gt;50) was present in 59.1% of participants. Clinically significant anxiety and depression affected 44.1% and 40.9% of caregivers, respectively. Poor sleep quality was reported in 41.9%, while reduced health-related quality of life was documented in 38.7% of caregivers. Caregiver burnout symptoms were observed in 35.5% of participants, and 37.6% reported deterioration in their own health status during the caregiving period. The mean anxiety score was 10.8 ± 4.3, and the mean depression score was 11.4 ± 4.9. Mean sleep quality score and mean quality-of-life score were 8.1 ± 3.0 and 58.6 ± 13.5, respectively. Hospitalization of care recipients during the study period occurred in 18.3% of cases. These findings indicate substantial psychological morbidity and quality-of-life impairment among caregivers of patients with chronic neurological illness. Detailed clinical outcomes are presented in Table 3. </w:t>
      </w:r>
    </w:p>
    <w:p w:rsidR="00F86C40" w:rsidRPr="00F86C40" w:rsidRDefault="00F86C40" w:rsidP="00F86C40">
      <w:pPr>
        <w:pStyle w:val="Caption"/>
      </w:pPr>
      <w:r w:rsidRPr="00F86C40">
        <w:t xml:space="preserve">Table 3. Clinical Outcomes </w:t>
      </w:r>
      <w:proofErr w:type="gramStart"/>
      <w:r w:rsidRPr="00F86C40">
        <w:t>Among</w:t>
      </w:r>
      <w:proofErr w:type="gramEnd"/>
      <w:r w:rsidRPr="00F86C40">
        <w:t xml:space="preserve"> Caregivers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1"/>
        <w:gridCol w:w="598"/>
        <w:gridCol w:w="2098"/>
      </w:tblGrid>
      <w:tr w:rsidR="00F86C40" w:rsidRPr="00F86C40" w:rsidTr="00F86C40">
        <w:tc>
          <w:tcPr>
            <w:tcW w:w="3507"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Outcome</w:t>
            </w:r>
          </w:p>
        </w:tc>
        <w:tc>
          <w:tcPr>
            <w:tcW w:w="331"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n</w:t>
            </w:r>
          </w:p>
        </w:tc>
        <w:tc>
          <w:tcPr>
            <w:tcW w:w="1162"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 / Mean ± SD</w:t>
            </w:r>
          </w:p>
        </w:tc>
      </w:tr>
      <w:tr w:rsidR="00F86C40" w:rsidRPr="00F86C40" w:rsidTr="00F86C40">
        <w:tc>
          <w:tcPr>
            <w:tcW w:w="3507" w:type="pct"/>
            <w:tcBorders>
              <w:top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High caregiver burden (CBI &gt;50)</w:t>
            </w:r>
          </w:p>
        </w:tc>
        <w:tc>
          <w:tcPr>
            <w:tcW w:w="331"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55</w:t>
            </w:r>
          </w:p>
        </w:tc>
        <w:tc>
          <w:tcPr>
            <w:tcW w:w="1162"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59.1%</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Clinically significant depression</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38</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40.9%</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Clinically significant anxiety</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41</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44.1%</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Poor sleep quality</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39</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41.9%</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Reduced health-related quality of life</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36</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38.7%</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Caregiver burnout symptoms</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33</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35.5%</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Mean caregiver burden score</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51.4 ± 16.8</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Mean anxiety score</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10.8 ± 4.3</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Mean depression score</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11.4 ± 4.9</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Mean sleep quality score</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8.1 ± 3.0</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Mean quality-of-life score</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93</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58.6 ± 13.5</w:t>
            </w:r>
          </w:p>
        </w:tc>
      </w:tr>
      <w:tr w:rsidR="00F86C40" w:rsidRPr="00F86C40" w:rsidTr="00F86C40">
        <w:tc>
          <w:tcPr>
            <w:tcW w:w="3507"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Hospitalization of care recipient during study period</w:t>
            </w:r>
          </w:p>
        </w:tc>
        <w:tc>
          <w:tcPr>
            <w:tcW w:w="3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17</w:t>
            </w:r>
          </w:p>
        </w:tc>
        <w:tc>
          <w:tcPr>
            <w:tcW w:w="11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18.3%</w:t>
            </w:r>
          </w:p>
        </w:tc>
      </w:tr>
      <w:tr w:rsidR="00F86C40" w:rsidRPr="00F86C40" w:rsidTr="00F86C40">
        <w:tc>
          <w:tcPr>
            <w:tcW w:w="3507"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Self-reported decline in caregiver health</w:t>
            </w:r>
          </w:p>
        </w:tc>
        <w:tc>
          <w:tcPr>
            <w:tcW w:w="331"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35</w:t>
            </w:r>
          </w:p>
        </w:tc>
        <w:tc>
          <w:tcPr>
            <w:tcW w:w="1162"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37.6%</w:t>
            </w:r>
          </w:p>
        </w:tc>
      </w:tr>
    </w:tbl>
    <w:p w:rsidR="00F86C40" w:rsidRPr="00F86C40" w:rsidRDefault="00BB135C" w:rsidP="00F86C40">
      <w:pPr>
        <w:pStyle w:val="Body"/>
      </w:pPr>
      <w:r>
        <w:pict>
          <v:rect id="_x0000_i1027" style="width:0;height:1.5pt" o:hralign="center" o:hrstd="t" o:hr="t" fillcolor="#a0a0a0" stroked="f"/>
        </w:pict>
      </w:r>
    </w:p>
    <w:p w:rsidR="00F86C40" w:rsidRPr="00F86C40" w:rsidRDefault="00F86C40" w:rsidP="00F86C40">
      <w:pPr>
        <w:pStyle w:val="Body"/>
      </w:pPr>
      <w:r w:rsidRPr="00F86C40">
        <w:t xml:space="preserve">Inferential analysis identified several statistically significant predictors of poor caregiver outcomes. Neuropsychiatric symptoms in care recipients emerged as the strongest independent predictor of adverse caregiver outcomes (OR 2.84, 95% CI 1.52–5.31, p&lt;0.001). Functional dependency among patients was significantly associated with increased caregiver burden (OR 2.36, 95% CI 1.24–4.48, p=0.008). Caregiving duration exceeding 8 hours daily significantly increased the risk of poor clinical outcomes (OR 2.11, 95% CI 1.10–4.03, p=0.021). Caregiver depressive symptoms demonstrated a strong association with adverse clinical status (OR 3.27, 95% CI 1.68–6.38, p&lt;0.001), while anxiety symptoms also independently predicted poorer outcomes (OR 2.49, 95% CI 1.31–4.71, p=0.004). Poor sleep quality was associated with significantly increased caregiver burden (OR 1.94, 95% CI 1.01–3.72, p=0.041). Reduced resilience and mindfulness scores were significantly associated with increased vulnerability to adverse outcomes (OR 1.88, 95% CI 1.02–3.46, p=0.038). Cognitive impairment among care recipients also significantly contributed to caregiver distress (OR 2.18, 95% CI 1.17–4.06, p=0.013). Longer caregiving duration demonstrated a trend toward poorer outcomes but did not achieve statistical significance (p=0.071), whereas female caregiver sex was not independently associated with poor clinical outcomes (p=0.214). Inferential analyses are detailed in Table 4. </w:t>
      </w:r>
    </w:p>
    <w:p w:rsidR="00F86C40" w:rsidRPr="00F86C40" w:rsidRDefault="00F86C40" w:rsidP="00F86C40">
      <w:pPr>
        <w:pStyle w:val="Caption"/>
      </w:pPr>
      <w:r w:rsidRPr="00F86C40">
        <w:t>Table 4. Inferential Analysis: Predictors of Poor Clinical Outcomes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417"/>
        <w:gridCol w:w="1163"/>
        <w:gridCol w:w="834"/>
        <w:gridCol w:w="798"/>
        <w:gridCol w:w="2939"/>
      </w:tblGrid>
      <w:tr w:rsidR="00F86C40" w:rsidRPr="00F86C40" w:rsidTr="00F86C40">
        <w:tc>
          <w:tcPr>
            <w:tcW w:w="1593"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Predictor</w:t>
            </w:r>
          </w:p>
        </w:tc>
        <w:tc>
          <w:tcPr>
            <w:tcW w:w="231"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n</w:t>
            </w:r>
          </w:p>
        </w:tc>
        <w:tc>
          <w:tcPr>
            <w:tcW w:w="644"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Effect Measure</w:t>
            </w:r>
          </w:p>
        </w:tc>
        <w:tc>
          <w:tcPr>
            <w:tcW w:w="462"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95% CI</w:t>
            </w:r>
          </w:p>
        </w:tc>
        <w:tc>
          <w:tcPr>
            <w:tcW w:w="442"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p-value</w:t>
            </w:r>
          </w:p>
        </w:tc>
        <w:tc>
          <w:tcPr>
            <w:tcW w:w="1629" w:type="pct"/>
            <w:tcBorders>
              <w:top w:val="single" w:sz="4" w:space="0" w:color="000000"/>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Interpretation</w:t>
            </w:r>
          </w:p>
        </w:tc>
      </w:tr>
      <w:tr w:rsidR="00F86C40" w:rsidRPr="00F86C40" w:rsidTr="00F86C40">
        <w:tc>
          <w:tcPr>
            <w:tcW w:w="1593" w:type="pct"/>
            <w:tcBorders>
              <w:top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Neuropsychiatric symptoms in care recipient</w:t>
            </w:r>
          </w:p>
        </w:tc>
        <w:tc>
          <w:tcPr>
            <w:tcW w:w="231"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58</w:t>
            </w:r>
          </w:p>
        </w:tc>
        <w:tc>
          <w:tcPr>
            <w:tcW w:w="644"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2.84</w:t>
            </w:r>
          </w:p>
        </w:tc>
        <w:tc>
          <w:tcPr>
            <w:tcW w:w="462"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1.52–5.31</w:t>
            </w:r>
          </w:p>
        </w:tc>
        <w:tc>
          <w:tcPr>
            <w:tcW w:w="442"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&lt;0.001</w:t>
            </w:r>
          </w:p>
        </w:tc>
        <w:tc>
          <w:tcPr>
            <w:tcW w:w="1629" w:type="pct"/>
            <w:tcBorders>
              <w:top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Strong independent predictor of poor caregiver outcome</w:t>
            </w:r>
          </w:p>
        </w:tc>
      </w:tr>
      <w:tr w:rsidR="00F86C40" w:rsidRPr="00F86C40" w:rsidTr="00F86C40">
        <w:tc>
          <w:tcPr>
            <w:tcW w:w="1593"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Functional dependency of care recipient</w:t>
            </w:r>
          </w:p>
        </w:tc>
        <w:tc>
          <w:tcPr>
            <w:tcW w:w="2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54</w:t>
            </w:r>
          </w:p>
        </w:tc>
        <w:tc>
          <w:tcPr>
            <w:tcW w:w="644"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2.36</w:t>
            </w:r>
          </w:p>
        </w:tc>
        <w:tc>
          <w:tcPr>
            <w:tcW w:w="4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1.24–4.48</w:t>
            </w:r>
          </w:p>
        </w:tc>
        <w:tc>
          <w:tcPr>
            <w:tcW w:w="44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0.008</w:t>
            </w:r>
          </w:p>
        </w:tc>
        <w:tc>
          <w:tcPr>
            <w:tcW w:w="162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Increased dependency associated with greater burden</w:t>
            </w:r>
          </w:p>
        </w:tc>
      </w:tr>
      <w:tr w:rsidR="00F86C40" w:rsidRPr="00F86C40" w:rsidTr="00F86C40">
        <w:tc>
          <w:tcPr>
            <w:tcW w:w="1593"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Daily caregiving &gt;8 h/day</w:t>
            </w:r>
          </w:p>
        </w:tc>
        <w:tc>
          <w:tcPr>
            <w:tcW w:w="2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48</w:t>
            </w:r>
          </w:p>
        </w:tc>
        <w:tc>
          <w:tcPr>
            <w:tcW w:w="644"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2.11</w:t>
            </w:r>
          </w:p>
        </w:tc>
        <w:tc>
          <w:tcPr>
            <w:tcW w:w="4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1.10–4.03</w:t>
            </w:r>
          </w:p>
        </w:tc>
        <w:tc>
          <w:tcPr>
            <w:tcW w:w="44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0.021</w:t>
            </w:r>
          </w:p>
        </w:tc>
        <w:tc>
          <w:tcPr>
            <w:tcW w:w="162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High caregiving intensity increased adverse outcomes</w:t>
            </w:r>
          </w:p>
        </w:tc>
      </w:tr>
      <w:tr w:rsidR="00F86C40" w:rsidRPr="00F86C40" w:rsidTr="00F86C40">
        <w:tc>
          <w:tcPr>
            <w:tcW w:w="1593"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lastRenderedPageBreak/>
              <w:t>Caregiver depressive symptoms</w:t>
            </w:r>
          </w:p>
        </w:tc>
        <w:tc>
          <w:tcPr>
            <w:tcW w:w="2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39</w:t>
            </w:r>
          </w:p>
        </w:tc>
        <w:tc>
          <w:tcPr>
            <w:tcW w:w="644"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3.27</w:t>
            </w:r>
          </w:p>
        </w:tc>
        <w:tc>
          <w:tcPr>
            <w:tcW w:w="4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1.68–6.38</w:t>
            </w:r>
          </w:p>
        </w:tc>
        <w:tc>
          <w:tcPr>
            <w:tcW w:w="44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&lt;0.001</w:t>
            </w:r>
          </w:p>
        </w:tc>
        <w:tc>
          <w:tcPr>
            <w:tcW w:w="162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Depression strongly associated with poor clinical status</w:t>
            </w:r>
          </w:p>
        </w:tc>
      </w:tr>
      <w:tr w:rsidR="00F86C40" w:rsidRPr="00F86C40" w:rsidTr="00F86C40">
        <w:tc>
          <w:tcPr>
            <w:tcW w:w="1593"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Anxiety symptoms</w:t>
            </w:r>
          </w:p>
        </w:tc>
        <w:tc>
          <w:tcPr>
            <w:tcW w:w="2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42</w:t>
            </w:r>
          </w:p>
        </w:tc>
        <w:tc>
          <w:tcPr>
            <w:tcW w:w="644"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2.49</w:t>
            </w:r>
          </w:p>
        </w:tc>
        <w:tc>
          <w:tcPr>
            <w:tcW w:w="4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1.31–4.71</w:t>
            </w:r>
          </w:p>
        </w:tc>
        <w:tc>
          <w:tcPr>
            <w:tcW w:w="44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0.004</w:t>
            </w:r>
          </w:p>
        </w:tc>
        <w:tc>
          <w:tcPr>
            <w:tcW w:w="162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Anxiety predicted poorer outcomes</w:t>
            </w:r>
          </w:p>
        </w:tc>
      </w:tr>
      <w:tr w:rsidR="00F86C40" w:rsidRPr="00F86C40" w:rsidTr="00F86C40">
        <w:tc>
          <w:tcPr>
            <w:tcW w:w="1593"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Poor sleep quality</w:t>
            </w:r>
          </w:p>
        </w:tc>
        <w:tc>
          <w:tcPr>
            <w:tcW w:w="2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39</w:t>
            </w:r>
          </w:p>
        </w:tc>
        <w:tc>
          <w:tcPr>
            <w:tcW w:w="644"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1.94</w:t>
            </w:r>
          </w:p>
        </w:tc>
        <w:tc>
          <w:tcPr>
            <w:tcW w:w="4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1.01–3.72</w:t>
            </w:r>
          </w:p>
        </w:tc>
        <w:tc>
          <w:tcPr>
            <w:tcW w:w="44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0.041</w:t>
            </w:r>
          </w:p>
        </w:tc>
        <w:tc>
          <w:tcPr>
            <w:tcW w:w="162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Sleep impairment associated with increased burden</w:t>
            </w:r>
          </w:p>
        </w:tc>
      </w:tr>
      <w:tr w:rsidR="00F86C40" w:rsidRPr="00F86C40" w:rsidTr="00F86C40">
        <w:tc>
          <w:tcPr>
            <w:tcW w:w="1593"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Low mindfulness/resilience</w:t>
            </w:r>
          </w:p>
        </w:tc>
        <w:tc>
          <w:tcPr>
            <w:tcW w:w="2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30</w:t>
            </w:r>
          </w:p>
        </w:tc>
        <w:tc>
          <w:tcPr>
            <w:tcW w:w="644"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1.88</w:t>
            </w:r>
          </w:p>
        </w:tc>
        <w:tc>
          <w:tcPr>
            <w:tcW w:w="4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1.02–3.46</w:t>
            </w:r>
          </w:p>
        </w:tc>
        <w:tc>
          <w:tcPr>
            <w:tcW w:w="44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0.038</w:t>
            </w:r>
          </w:p>
        </w:tc>
        <w:tc>
          <w:tcPr>
            <w:tcW w:w="162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Reduced resilience increased vulnerability</w:t>
            </w:r>
          </w:p>
        </w:tc>
      </w:tr>
      <w:tr w:rsidR="00F86C40" w:rsidRPr="00F86C40" w:rsidTr="00F86C40">
        <w:tc>
          <w:tcPr>
            <w:tcW w:w="1593"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Cognitive impairment in care recipient</w:t>
            </w:r>
          </w:p>
        </w:tc>
        <w:tc>
          <w:tcPr>
            <w:tcW w:w="2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49</w:t>
            </w:r>
          </w:p>
        </w:tc>
        <w:tc>
          <w:tcPr>
            <w:tcW w:w="644"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2.18</w:t>
            </w:r>
          </w:p>
        </w:tc>
        <w:tc>
          <w:tcPr>
            <w:tcW w:w="4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1.17–4.06</w:t>
            </w:r>
          </w:p>
        </w:tc>
        <w:tc>
          <w:tcPr>
            <w:tcW w:w="44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0.013</w:t>
            </w:r>
          </w:p>
        </w:tc>
        <w:tc>
          <w:tcPr>
            <w:tcW w:w="162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Cognitive decline contributed to caregiver distress</w:t>
            </w:r>
          </w:p>
        </w:tc>
      </w:tr>
      <w:tr w:rsidR="00F86C40" w:rsidRPr="00F86C40" w:rsidTr="00F86C40">
        <w:tc>
          <w:tcPr>
            <w:tcW w:w="1593" w:type="pct"/>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Longer caregiving duration (&gt;5 years)</w:t>
            </w:r>
          </w:p>
        </w:tc>
        <w:tc>
          <w:tcPr>
            <w:tcW w:w="231"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46</w:t>
            </w:r>
          </w:p>
        </w:tc>
        <w:tc>
          <w:tcPr>
            <w:tcW w:w="644"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1.73</w:t>
            </w:r>
          </w:p>
        </w:tc>
        <w:tc>
          <w:tcPr>
            <w:tcW w:w="46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0.94–3.18</w:t>
            </w:r>
          </w:p>
        </w:tc>
        <w:tc>
          <w:tcPr>
            <w:tcW w:w="442"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0.071</w:t>
            </w:r>
          </w:p>
        </w:tc>
        <w:tc>
          <w:tcPr>
            <w:tcW w:w="1629" w:type="pct"/>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Trend toward poorer outcomes</w:t>
            </w:r>
          </w:p>
        </w:tc>
      </w:tr>
      <w:tr w:rsidR="00F86C40" w:rsidRPr="00F86C40" w:rsidTr="00F86C40">
        <w:tc>
          <w:tcPr>
            <w:tcW w:w="1593"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b/>
                <w:color w:val="000000"/>
                <w:sz w:val="16"/>
              </w:rPr>
            </w:pPr>
            <w:r w:rsidRPr="00F86C40">
              <w:rPr>
                <w:b/>
                <w:color w:val="000000"/>
                <w:sz w:val="16"/>
              </w:rPr>
              <w:t>Female caregiver sex</w:t>
            </w:r>
          </w:p>
        </w:tc>
        <w:tc>
          <w:tcPr>
            <w:tcW w:w="231"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67</w:t>
            </w:r>
          </w:p>
        </w:tc>
        <w:tc>
          <w:tcPr>
            <w:tcW w:w="644"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OR 1.42</w:t>
            </w:r>
          </w:p>
        </w:tc>
        <w:tc>
          <w:tcPr>
            <w:tcW w:w="462"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0.76–2.66</w:t>
            </w:r>
          </w:p>
        </w:tc>
        <w:tc>
          <w:tcPr>
            <w:tcW w:w="442"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0.214</w:t>
            </w:r>
          </w:p>
        </w:tc>
        <w:tc>
          <w:tcPr>
            <w:tcW w:w="1629" w:type="pct"/>
            <w:tcBorders>
              <w:bottom w:val="single" w:sz="4" w:space="0" w:color="000000"/>
            </w:tcBorders>
            <w:shd w:val="clear" w:color="auto" w:fill="auto"/>
            <w:hideMark/>
          </w:tcPr>
          <w:p w:rsidR="00F86C40" w:rsidRPr="00F86C40" w:rsidRDefault="00F86C40" w:rsidP="00F86C40">
            <w:pPr>
              <w:pStyle w:val="Body"/>
              <w:spacing w:after="0" w:line="240" w:lineRule="auto"/>
              <w:jc w:val="left"/>
              <w:rPr>
                <w:color w:val="000000"/>
                <w:sz w:val="16"/>
              </w:rPr>
            </w:pPr>
            <w:r w:rsidRPr="00F86C40">
              <w:rPr>
                <w:color w:val="000000"/>
                <w:sz w:val="16"/>
              </w:rPr>
              <w:t>No statistically significant association</w:t>
            </w:r>
          </w:p>
        </w:tc>
      </w:tr>
    </w:tbl>
    <w:p w:rsidR="00F86C40" w:rsidRPr="00F86C40" w:rsidRDefault="00F86C40" w:rsidP="00F86C40">
      <w:pPr>
        <w:pStyle w:val="Body"/>
      </w:pPr>
      <w:r w:rsidRPr="00F86C40">
        <w:t xml:space="preserve">The baseline demographic and clinical analysis demonstrated that caregivers of patients with chronic neurological illness experienced prolonged and intensive caregiving exposure with substantial psychosocial vulnerability. The mean caregiver age was 56.8 ± 9.4 years, indicating that most caregivers belonged to middle-aged or older age groups, which may itself increase susceptibility to physical exhaustion and chronic stress. Female caregivers represented 72.0% of the study population, while spouses or partners constituted 71.0% of caregivers, suggesting that caregiving responsibilities were predominantly borne by female family members within close domestic relationships. Approximately two-thirds of caregivers lived with the care recipient (66.7%), further emphasizing continuous caregiving exposure and reduced opportunities for respite. The mean caregiving duration was 6.8 ± 3.2 years, and more than half of caregivers (51.6%) reported caregiving intensity exceeding 8 hours daily, reflecting the chronic and labor-intensive nature of neurological caregiving within tertiary-care settings. Mean Caregiver Burden Inventory score reached 51.4 ± 16.8, indicating clinically meaningful burden severity across the cohort. Anxiety or depressive symptoms were present in 45.2% of caregivers, while poor sleep quality affected 41.9%, demonstrating substantial baseline psychological morbidity among participants. </w:t>
      </w:r>
    </w:p>
    <w:p w:rsidR="00F86C40" w:rsidRPr="00F86C40" w:rsidRDefault="00F86C40" w:rsidP="00F86C40">
      <w:pPr>
        <w:pStyle w:val="Body"/>
      </w:pPr>
      <w:r w:rsidRPr="00F86C40">
        <w:t xml:space="preserve">Analysis of clinical comorbidities and caregiving-related variables revealed a multidimensional burden affecting emotional, physical, and social functioning. Moderate-to-severe caregiver burden was identified in 61.3% of participants, indicating that a majority of caregivers experienced clinically significant stress related to caregiving responsibilities. Depressive symptoms and anxiety symptoms affected 41.9% and 45.2% of caregivers, respectively, while physical exhaustion or fatigue was observed in 47.3%, highlighting the cumulative impact of long-term caregiving demands. Sleep disturbance was reported by 41.9% of caregivers, and chronic musculoskeletal pain affected 33.3%, suggesting important physical health consequences associated with prolonged caregiving activities. Social isolation and reduced physical functioning were present in 30.1% and 36.6% of participants, respectively, whereas emotional role limitation affected 31.2%, reflecting broader psychosocial impairment. Financial strain related to caregiving was documented in 28.0% of caregivers, underscoring the economic burden associated with chronic neurological illness management. Among care recipients, neuropsychiatric symptoms were the most prevalent clinical feature (62.4%), followed by functional dependency (58.1%) and cognitive impairment (52.7%), indicating substantial patient-related factors contributing to caregiver distress. Additionally, low psychological flexibility and reduced mindfulness or resilience scores were identified in 35.5% and 32.3% of caregivers, respectively, suggesting diminished adaptive coping capacity in a considerable proportion of participants. </w:t>
      </w:r>
    </w:p>
    <w:p w:rsidR="00F86C40" w:rsidRPr="00F86C40" w:rsidRDefault="00F86C40" w:rsidP="00F86C40">
      <w:pPr>
        <w:pStyle w:val="Body"/>
      </w:pPr>
      <w:r w:rsidRPr="00F86C40">
        <w:t xml:space="preserve">Clinical outcome analysis demonstrated persistently high levels of caregiver psychological distress and quality-of-life impairment. High caregiver burden defined as CBI &gt;50 was present in 59.1% of caregivers, while clinically significant anxiety and depression were reported in 44.1% and 40.9% of participants, respectively. Poor sleep quality affected 41.9% of caregivers, and reduced health-related quality of life was documented in 38.7%, indicating substantial impairment in overall well-being. Caregiver burnout symptoms were observed in 35.5% of participants, whereas 37.6% reported deterioration in their own health status during the caregiving period. Mean anxiety and depression scores were 10.8 ± 4.3 and 11.4 ± 4.9, respectively, demonstrating moderate psychological symptom severity. The mean sleep quality score was 8.1 ± 3.0, while the mean quality-of-life score was 58.6 ± 13.5, suggesting compromised physical and emotional functioning among caregivers. Hospitalization of care recipients occurred in 18.3% of cases during the study period, potentially contributing to episodic increases in caregiving stress and healthcare-related burden. </w:t>
      </w:r>
    </w:p>
    <w:p w:rsidR="00F86C40" w:rsidRPr="00F86C40" w:rsidRDefault="00F86C40" w:rsidP="00F86C40">
      <w:pPr>
        <w:pStyle w:val="Body"/>
      </w:pPr>
      <w:r w:rsidRPr="00F86C40">
        <w:t xml:space="preserve">Inferential analysis identified several clinically significant predictors of poor caregiver outcomes. Neuropsychiatric symptoms in care recipients emerged as the strongest independent predictor of adverse caregiver status, increasing the odds of poor outcomes by nearly threefold (OR 2.84, 95% CI 1.52–5.31, p&lt;0.001). Functional dependency among care recipients was also significantly associated with increased caregiver burden </w:t>
      </w:r>
      <w:r w:rsidRPr="00F86C40">
        <w:lastRenderedPageBreak/>
        <w:t xml:space="preserve">(OR 2.36, 95% CI 1.24–4.48, p=0.008), suggesting that progressive loss of patient autonomy substantially intensified caregiving demands. High caregiving intensity exceeding 8 hours daily significantly increased the likelihood of adverse outcomes (OR 2.11, 95% CI 1.10–4.03, p=0.021). Caregiver depressive symptoms demonstrated the strongest caregiver-related predictor of poor clinical status (OR 3.27, 95% CI 1.68–6.38, p&lt;0.001), while anxiety symptoms independently increased the risk of poorer outcomes by approximately 2.5-fold (OR 2.49, 95% CI 1.31–4.71, p=0.004). Poor sleep quality was significantly associated with increased caregiver burden (OR 1.94, 95% CI 1.01–3.72, p=0.041), and reduced mindfulness or resilience scores also independently predicted greater vulnerability to adverse outcomes (OR 1.88, 95% CI 1.02–3.46, p=0.038). Cognitive impairment in care recipients significantly contributed to caregiver distress (OR 2.18, 95% CI 1.17–4.06, p=0.013). Although caregiving duration exceeding five years demonstrated a trend toward poorer outcomes (OR 1.73, 95% CI 0.94–3.18), statistical significance was not reached (p=0.071). Female caregiver sex was not independently associated with poor clinical outcomes (p=0.214), despite females constituting the majority of the caregiver population. </w:t>
      </w:r>
    </w:p>
    <w:p w:rsidR="00F86C40" w:rsidRPr="00F86C40" w:rsidRDefault="00075918" w:rsidP="00075918">
      <w:pPr>
        <w:pStyle w:val="Body"/>
        <w:jc w:val="center"/>
      </w:pPr>
      <w:r>
        <w:rPr>
          <w:noProof/>
        </w:rPr>
        <w:drawing>
          <wp:inline distT="0" distB="0" distL="0" distR="0">
            <wp:extent cx="4572000" cy="277450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2, 2026, 11_40_58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774500"/>
                    </a:xfrm>
                    <a:prstGeom prst="rect">
                      <a:avLst/>
                    </a:prstGeom>
                  </pic:spPr>
                </pic:pic>
              </a:graphicData>
            </a:graphic>
          </wp:inline>
        </w:drawing>
      </w:r>
    </w:p>
    <w:p w:rsidR="00F86C40" w:rsidRPr="00F86C40" w:rsidRDefault="00F86C40" w:rsidP="00F86C40">
      <w:pPr>
        <w:pStyle w:val="Caption"/>
      </w:pPr>
      <w:r w:rsidRPr="00F86C40">
        <w:t>Figure 1. Integrated distribution of clinically significant predictors associated with adverse caregiver outcomes among family caregivers of patients with chronic neurological illness at Central Park Teaching Hospital. Gradient bars represent prevalence of clinically relevant caregiver or patient-related variables, while superimposed odds ratios with 95% confidence intervals demonstrate the magnitude of association between each predictor and poor caregiver outcomes. Caregiver depressive symptoms showed the strongest independent association (OR 3.27, 95% CI 1.68–6.38), followed by neuropsychiatric symptoms in care recipients (OR 2.84, 95% CI 1.52–5.31). Patient-related neuropsychiatric manifestations and functional dependency demonstrated high prevalence rates of 62.4% and 58.1%, respectively, emphasizing their central contribution to caregiver distress. Reduced resilience, sleep impairment, prolonged caregiving intensity, and cognitive impairment also demonstrated clinically meaningful associations with adverse caregiver outcomes.</w:t>
      </w:r>
    </w:p>
    <w:p w:rsidR="00F86C40" w:rsidRPr="00F86C40" w:rsidRDefault="00F86C40" w:rsidP="00F86C40">
      <w:pPr>
        <w:pStyle w:val="Heading1"/>
      </w:pPr>
      <w:r w:rsidRPr="00F86C40">
        <w:t>Discussion</w:t>
      </w:r>
    </w:p>
    <w:p w:rsidR="00F86C40" w:rsidRPr="00F86C40" w:rsidRDefault="00F86C40" w:rsidP="00F86C40">
      <w:pPr>
        <w:pStyle w:val="Body"/>
      </w:pPr>
      <w:r w:rsidRPr="00F86C40">
        <w:t>The present study evaluated caregiver burden, psychological distress, and associated predictors among family caregivers of patients with chronic neurological illness at Central Park Teaching Hospital, using a mixed-methods approach integrating quantitative clinical assessment with qualitative exploration of caregiver experiences. The findings demonstrated a substantial multidimensional burden among caregivers, with more than half of participants experiencing moderate-to-severe caregiver burden and high caregiving intensity. Clinically significant anxiety, depressive symptoms, poor sleep quality, and reduced health-related quality of life were highly prevalent, highlighting the extensive psychological and physical impact of long-term neurological caregiving. These findings are consistent with previous international studies reporting elevated emotional distress and reduced quality of life among caregivers of patients with chronic neurological disorders, particularly neurodegenerative diseases characterized by progressive functional decline and neuropsychiatric complications (22</w:t>
      </w:r>
      <w:proofErr w:type="gramStart"/>
      <w:r w:rsidRPr="00F86C40">
        <w:t>,23</w:t>
      </w:r>
      <w:proofErr w:type="gramEnd"/>
      <w:r w:rsidRPr="00F86C40">
        <w:t>).</w:t>
      </w:r>
    </w:p>
    <w:p w:rsidR="00F86C40" w:rsidRPr="00F86C40" w:rsidRDefault="00F86C40" w:rsidP="00F86C40">
      <w:pPr>
        <w:pStyle w:val="Body"/>
      </w:pPr>
      <w:r w:rsidRPr="00F86C40">
        <w:t xml:space="preserve">One of the most important findings of the study was the strong association between neuropsychiatric symptoms in care recipients and adverse caregiver outcomes. Care recipient neuropsychiatric manifestations independently increased the risk of poor caregiver outcomes by nearly threefold and represented one of the most prevalent patient-related clinical variables identified in the cohort. Similar findings have been reported in studies involving Parkinson’s disease, dementia, Huntington’s disease, and other neurodegenerative conditions, where behavioral </w:t>
      </w:r>
      <w:r w:rsidRPr="00F86C40">
        <w:lastRenderedPageBreak/>
        <w:t xml:space="preserve">disturbances, emotional </w:t>
      </w:r>
      <w:proofErr w:type="spellStart"/>
      <w:r w:rsidRPr="00F86C40">
        <w:t>dysregulation</w:t>
      </w:r>
      <w:proofErr w:type="spellEnd"/>
      <w:r w:rsidRPr="00F86C40">
        <w:t>, hallucinations, irritability, and cognitive dysfunction substantially increased caregiver emotional exhaustion and psychological strain (24</w:t>
      </w:r>
      <w:proofErr w:type="gramStart"/>
      <w:r w:rsidRPr="00F86C40">
        <w:t>,25</w:t>
      </w:r>
      <w:proofErr w:type="gramEnd"/>
      <w:r w:rsidRPr="00F86C40">
        <w:t>). Neuropsychiatric symptoms may intensify caregiving complexity by increasing supervision demands, communication difficulties, nighttime caregiving burden, and emotional unpredictability, thereby contributing to chronic stress and reduced caregiver resilience. The current findings reinforce the importance of early recognition and management of neuropsychiatric manifestations within multidisciplinary neurological care models.</w:t>
      </w:r>
    </w:p>
    <w:p w:rsidR="00F86C40" w:rsidRPr="00F86C40" w:rsidRDefault="00F86C40" w:rsidP="00F86C40">
      <w:pPr>
        <w:pStyle w:val="Body"/>
      </w:pPr>
      <w:r w:rsidRPr="00F86C40">
        <w:t>Functional dependency among care recipients also demonstrated a significant association with caregiver burden and adverse clinical outcomes. More than half of the patients exhibited substantial functional dependency, and caregivers of functionally dependent individuals experienced significantly greater burden levels. These findings align with previous literature showing that progressive loss of patient autonomy increases physical caregiving demands, restricts caregiver social functioning, and contributes to chronic fatigue and musculoskeletal strain (26</w:t>
      </w:r>
      <w:proofErr w:type="gramStart"/>
      <w:r w:rsidRPr="00F86C40">
        <w:t>,27</w:t>
      </w:r>
      <w:proofErr w:type="gramEnd"/>
      <w:r w:rsidRPr="00F86C40">
        <w:t>). Functional dependency frequently requires prolonged assistance with activities of daily living, mobility, feeding, medication administration, and hospital-related care, thereby increasing both emotional and physical caregiver workload. In resource-limited healthcare settings such as Pakistan, the absence of structured long-term rehabilitation and community support services may further intensify caregiver responsibilities and contribute to cumulative caregiver exhaustion.</w:t>
      </w:r>
    </w:p>
    <w:p w:rsidR="00F86C40" w:rsidRPr="00F86C40" w:rsidRDefault="00F86C40" w:rsidP="00F86C40">
      <w:pPr>
        <w:pStyle w:val="Body"/>
      </w:pPr>
      <w:r w:rsidRPr="00F86C40">
        <w:t>High caregiving intensity exceeding 8 hours daily emerged as another important predictor of adverse caregiver outcomes. More than half of caregivers reported prolonged daily caregiving exposure, reflecting the continuous nature of caregiving in chronic neurological illness. Previous studies have similarly demonstrated that extended caregiving duration and prolonged daily caregiving time are associated with increased burnout, sleep disruption, anxiety, and depressive symptoms among informal caregivers (28</w:t>
      </w:r>
      <w:proofErr w:type="gramStart"/>
      <w:r w:rsidRPr="00F86C40">
        <w:t>,29</w:t>
      </w:r>
      <w:proofErr w:type="gramEnd"/>
      <w:r w:rsidRPr="00F86C40">
        <w:t>). Prolonged caregiving responsibilities may reduce opportunities for rest, social engagement, occupational participation, and emotional recovery, ultimately impairing caregiver physical and psychological well-being. The current findings emphasize the need for respite care services, caregiver education programs, and structured psychosocial support within tertiary neurological centers.</w:t>
      </w:r>
    </w:p>
    <w:p w:rsidR="00F86C40" w:rsidRPr="00F86C40" w:rsidRDefault="00F86C40" w:rsidP="00F86C40">
      <w:pPr>
        <w:pStyle w:val="Body"/>
      </w:pPr>
      <w:r w:rsidRPr="00F86C40">
        <w:t>Psychological distress among caregivers represented another major finding of the study. Clinically significant depressive symptoms and anxiety were highly prevalent and independently predicted poor caregiver outcomes. Caregiver depression demonstrated the strongest association with adverse clinical status, increasing the likelihood of poor outcomes by more than threefold. These observations are consistent with international evidence demonstrating that caregiver psychological distress is both a consequence and amplifier of caregiving burden (30</w:t>
      </w:r>
      <w:proofErr w:type="gramStart"/>
      <w:r w:rsidRPr="00F86C40">
        <w:t>,31</w:t>
      </w:r>
      <w:proofErr w:type="gramEnd"/>
      <w:r w:rsidRPr="00F86C40">
        <w:t>). Chronic exposure to emotional stress, uncertainty regarding disease progression, social isolation, financial pressure, and caregiving fatigue may contribute to persistent anxiety and depressive symptoms among caregivers. Additionally, caregiver mental health disturbances may negatively affect caregiving quality, coping capacity, and overall family functioning, further highlighting the need for routine psychological screening in neurological care settings.</w:t>
      </w:r>
    </w:p>
    <w:p w:rsidR="00F86C40" w:rsidRPr="00F86C40" w:rsidRDefault="00F86C40" w:rsidP="00F86C40">
      <w:pPr>
        <w:pStyle w:val="Body"/>
      </w:pPr>
      <w:r w:rsidRPr="00F86C40">
        <w:t xml:space="preserve">Poor sleep quality and reduced resilience or mindfulness scores also significantly contributed to caregiver burden and adverse outcomes. Sleep disturbance affected approximately two-fifths of caregivers and independently increased the risk of poorer clinical outcomes. Sleep impairment among caregivers may result from nighttime patient supervision, emotional </w:t>
      </w:r>
      <w:proofErr w:type="spellStart"/>
      <w:r w:rsidRPr="00F86C40">
        <w:t>hypervigilance</w:t>
      </w:r>
      <w:proofErr w:type="spellEnd"/>
      <w:r w:rsidRPr="00F86C40">
        <w:t>, stress-related insomnia, and prolonged caregiving fatigue. Previous studies have similarly reported strong associations between poor sleep quality, caregiver burnout, and deteriorating mental health among caregivers of neurological patients (32). Furthermore, reduced resilience and low psychological flexibility significantly increased caregiver vulnerability, supporting emerging evidence that adaptive coping mechanisms and mindfulness-based resilience may play protective roles against psychological distress and burnout (33</w:t>
      </w:r>
      <w:proofErr w:type="gramStart"/>
      <w:r w:rsidRPr="00F86C40">
        <w:t>,34</w:t>
      </w:r>
      <w:proofErr w:type="gramEnd"/>
      <w:r w:rsidRPr="00F86C40">
        <w:t>). These findings suggest that resilience-enhancing interventions and structured psychosocial coping strategies may improve caregiver adaptation and long-term well-being.</w:t>
      </w:r>
    </w:p>
    <w:p w:rsidR="00F86C40" w:rsidRPr="00F86C40" w:rsidRDefault="00F86C40" w:rsidP="00F86C40">
      <w:pPr>
        <w:pStyle w:val="Body"/>
      </w:pPr>
      <w:r w:rsidRPr="00F86C40">
        <w:t>The qualitative findings further enriched interpretation of the quantitative results by highlighting recurrent themes of emotional exhaustion, social isolation, inadequate psychosocial support, financial strain, and uncertainty regarding disease progression. Caregivers frequently described feelings of persistent emotional fatigue, reduced personal independence, and limited societal understanding of caregiving challenges. Financial concerns were particularly important among caregivers with prolonged caregiving responsibilities and reduced occupational participation. These observations are consistent with prior qualitative studies demonstrating that caregiver burden extends beyond measurable clinical symptoms and substantially affects interpersonal relationships, emotional identity, and social participation (35</w:t>
      </w:r>
      <w:proofErr w:type="gramStart"/>
      <w:r w:rsidRPr="00F86C40">
        <w:t>,36</w:t>
      </w:r>
      <w:proofErr w:type="gramEnd"/>
      <w:r w:rsidRPr="00F86C40">
        <w:t xml:space="preserve">). Integration of qualitative and quantitative findings therefore provided a </w:t>
      </w:r>
      <w:r w:rsidRPr="00F86C40">
        <w:lastRenderedPageBreak/>
        <w:t>more comprehensive understanding of caregiver experiences within the sociocultural context of Pakistani tertiary-care neurological practice.</w:t>
      </w:r>
    </w:p>
    <w:p w:rsidR="00F86C40" w:rsidRPr="00F86C40" w:rsidRDefault="00F86C40" w:rsidP="00F86C40">
      <w:pPr>
        <w:pStyle w:val="Body"/>
      </w:pPr>
      <w:r w:rsidRPr="00F86C40">
        <w:t xml:space="preserve">The study has several important clinical implications. Routine assessment of caregiver burden, psychological distress, sleep impairment, and resilience should be integrated into neurological outpatient and inpatient services. Multidisciplinary caregiver-centered interventions involving neurologists, psychiatrists, psychologists, rehabilitation specialists, and social support services may improve caregiver well-being and potentially enhance patient outcomes. Early identification of caregivers at high risk for adverse psychological outcomes may facilitate targeted interventions including </w:t>
      </w:r>
      <w:proofErr w:type="spellStart"/>
      <w:r w:rsidRPr="00F86C40">
        <w:t>psychoeducation</w:t>
      </w:r>
      <w:proofErr w:type="spellEnd"/>
      <w:r w:rsidRPr="00F86C40">
        <w:t>, counseling, mindfulness-based support programs, and caregiver respite services. Additionally, healthcare policies focusing on caregiver support infrastructure may help reduce long-term psychosocial consequences associated with chronic neurological illness management in resource-limited settings.</w:t>
      </w:r>
    </w:p>
    <w:p w:rsidR="00F86C40" w:rsidRPr="00F86C40" w:rsidRDefault="00F86C40" w:rsidP="00F86C40">
      <w:pPr>
        <w:pStyle w:val="Body"/>
      </w:pPr>
      <w:r w:rsidRPr="00F86C40">
        <w:t>Several limitations should be considered while interpreting the findings. The cross-sectional design limited causal inference regarding temporal relationships between caregiving variables and psychological outcomes. The single-center tertiary-care setting may affect generalizability to community-based or rural populations. Self-reported measures may also introduce reporting bias or subjective variability in psychological symptom assessment. Although the mixed-methods design strengthened contextual interpretation, the qualitative sample size remained relatively small. Nevertheless, the study provides important regional evidence regarding caregiver burden in chronic neurological illness and contributes valuable mixed-methods data from a Pakistani tertiary-care setting where caregiver-focused neurological research remains limited.</w:t>
      </w:r>
    </w:p>
    <w:p w:rsidR="00F86C40" w:rsidRPr="00F86C40" w:rsidRDefault="00F86C40" w:rsidP="00F86C40">
      <w:pPr>
        <w:pStyle w:val="Heading1"/>
      </w:pPr>
      <w:r w:rsidRPr="00F86C40">
        <w:t>Conclusion</w:t>
      </w:r>
    </w:p>
    <w:p w:rsidR="00F86C40" w:rsidRPr="00F86C40" w:rsidRDefault="00F86C40" w:rsidP="00F86C40">
      <w:pPr>
        <w:pStyle w:val="Body"/>
      </w:pPr>
      <w:r w:rsidRPr="00F86C40">
        <w:t>In conclusion, family caregivers of patients with chronic neurological illness at Central Park Teaching Hospital, experienced a substantial multidimensional burden characterized by high levels of psychological distress, physical exhaustion, sleep impairment, and reduced quality of life. Neuropsychiatric symptoms, functional dependency, prolonged caregiving intensity, caregiver depression, anxiety, poor sleep quality, and reduced resilience emerged as significant predictors of adverse caregiver outcomes, highlighting the complex interaction between patient-related clinical severity and caregiver psychological vulnerability. The mixed-methods design further demonstrated that caregiver experiences extended beyond measurable clinical burden and included emotional isolation, financial strain, social disruption, and inadequate psychosocial support. These findings emphasize the urgent need for caregiver-centered multidisciplinary neurological care models incorporating routine psychological screening, resilience-based interventions, caregiver education, and structured psychosocial support services. Early identification and targeted support of high-risk caregivers may improve both caregiver well-being and overall chronic neurological disease management outcomes within tertiary-care settings in Pakistan.</w:t>
      </w:r>
    </w:p>
    <w:p w:rsidR="00F86C40" w:rsidRPr="00F86C40" w:rsidRDefault="00F86C40" w:rsidP="00F86C40">
      <w:pPr>
        <w:pStyle w:val="Heading1"/>
      </w:pPr>
      <w:r w:rsidRPr="00F86C40">
        <w:t xml:space="preserve">References </w:t>
      </w:r>
    </w:p>
    <w:p w:rsidR="00F86C40" w:rsidRPr="00F86C40" w:rsidRDefault="00F86C40" w:rsidP="00075918">
      <w:pPr>
        <w:pStyle w:val="Body"/>
        <w:numPr>
          <w:ilvl w:val="0"/>
          <w:numId w:val="18"/>
        </w:numPr>
      </w:pPr>
      <w:proofErr w:type="spellStart"/>
      <w:r w:rsidRPr="00F86C40">
        <w:t>Aamodt</w:t>
      </w:r>
      <w:proofErr w:type="spellEnd"/>
      <w:r w:rsidRPr="00F86C40">
        <w:t xml:space="preserve"> WW, </w:t>
      </w:r>
      <w:proofErr w:type="spellStart"/>
      <w:r w:rsidRPr="00F86C40">
        <w:t>Kluger</w:t>
      </w:r>
      <w:proofErr w:type="spellEnd"/>
      <w:r w:rsidRPr="00F86C40">
        <w:t xml:space="preserve"> BM, </w:t>
      </w:r>
      <w:proofErr w:type="spellStart"/>
      <w:r w:rsidRPr="00F86C40">
        <w:t>Mirham</w:t>
      </w:r>
      <w:proofErr w:type="spellEnd"/>
      <w:r w:rsidRPr="00F86C40">
        <w:t xml:space="preserve"> M, Job A, </w:t>
      </w:r>
      <w:proofErr w:type="spellStart"/>
      <w:r w:rsidRPr="00F86C40">
        <w:t>Lettenberger</w:t>
      </w:r>
      <w:proofErr w:type="spellEnd"/>
      <w:r w:rsidRPr="00F86C40">
        <w:t xml:space="preserve"> SE, Mosley PE, et al. Caregiver burden in Parkinson disease: a scoping review of the literature from 2017-2022. J </w:t>
      </w:r>
      <w:proofErr w:type="spellStart"/>
      <w:r w:rsidRPr="00F86C40">
        <w:t>Geriatr</w:t>
      </w:r>
      <w:proofErr w:type="spellEnd"/>
      <w:r w:rsidRPr="00F86C40">
        <w:t xml:space="preserve"> Psychiatry Neurol. 2023</w:t>
      </w:r>
      <w:proofErr w:type="gramStart"/>
      <w:r w:rsidRPr="00F86C40">
        <w:t>;37</w:t>
      </w:r>
      <w:proofErr w:type="gramEnd"/>
      <w:r w:rsidRPr="00F86C40">
        <w:t xml:space="preserve">(2):96-113. </w:t>
      </w:r>
      <w:proofErr w:type="gramStart"/>
      <w:r w:rsidRPr="00F86C40">
        <w:t>doi:</w:t>
      </w:r>
      <w:proofErr w:type="gramEnd"/>
      <w:r w:rsidRPr="00F86C40">
        <w:t xml:space="preserve">10.1177/08919887231195219. </w:t>
      </w:r>
    </w:p>
    <w:p w:rsidR="00F86C40" w:rsidRPr="00F86C40" w:rsidRDefault="00F86C40" w:rsidP="00075918">
      <w:pPr>
        <w:pStyle w:val="Body"/>
        <w:numPr>
          <w:ilvl w:val="0"/>
          <w:numId w:val="18"/>
        </w:numPr>
      </w:pPr>
      <w:proofErr w:type="spellStart"/>
      <w:r w:rsidRPr="00F86C40">
        <w:t>Baytak</w:t>
      </w:r>
      <w:proofErr w:type="spellEnd"/>
      <w:r w:rsidRPr="00F86C40">
        <w:t xml:space="preserve"> S, </w:t>
      </w:r>
      <w:proofErr w:type="spellStart"/>
      <w:r w:rsidRPr="00F86C40">
        <w:t>Dogru-Huzmeli</w:t>
      </w:r>
      <w:proofErr w:type="spellEnd"/>
      <w:r w:rsidRPr="00F86C40">
        <w:t xml:space="preserve"> E, </w:t>
      </w:r>
      <w:proofErr w:type="spellStart"/>
      <w:r w:rsidRPr="00F86C40">
        <w:t>Uysal</w:t>
      </w:r>
      <w:proofErr w:type="spellEnd"/>
      <w:r w:rsidRPr="00F86C40">
        <w:t xml:space="preserve"> HH. The effect of the COVID-19 pandemic on the caregiving burden of individuals caring for patients with chronic neurological diseases. Work. 2024. </w:t>
      </w:r>
      <w:proofErr w:type="gramStart"/>
      <w:r w:rsidRPr="00F86C40">
        <w:t>doi:</w:t>
      </w:r>
      <w:proofErr w:type="gramEnd"/>
      <w:r w:rsidRPr="00F86C40">
        <w:t xml:space="preserve">10.3233/WOR-230710. </w:t>
      </w:r>
    </w:p>
    <w:p w:rsidR="00F86C40" w:rsidRPr="00F86C40" w:rsidRDefault="00F86C40" w:rsidP="00075918">
      <w:pPr>
        <w:pStyle w:val="Body"/>
        <w:numPr>
          <w:ilvl w:val="0"/>
          <w:numId w:val="18"/>
        </w:numPr>
      </w:pPr>
      <w:proofErr w:type="spellStart"/>
      <w:r w:rsidRPr="00F86C40">
        <w:t>Chahine</w:t>
      </w:r>
      <w:proofErr w:type="spellEnd"/>
      <w:r w:rsidRPr="00F86C40">
        <w:t xml:space="preserve"> L, Feldman R, </w:t>
      </w:r>
      <w:proofErr w:type="spellStart"/>
      <w:r w:rsidRPr="00F86C40">
        <w:t>Althouse</w:t>
      </w:r>
      <w:proofErr w:type="spellEnd"/>
      <w:r w:rsidRPr="00F86C40">
        <w:t xml:space="preserve"> A, </w:t>
      </w:r>
      <w:proofErr w:type="spellStart"/>
      <w:r w:rsidRPr="00F86C40">
        <w:t>Torsney</w:t>
      </w:r>
      <w:proofErr w:type="spellEnd"/>
      <w:r w:rsidRPr="00F86C40">
        <w:t xml:space="preserve"> B, </w:t>
      </w:r>
      <w:proofErr w:type="spellStart"/>
      <w:r w:rsidRPr="00F86C40">
        <w:t>Alzyoud</w:t>
      </w:r>
      <w:proofErr w:type="spellEnd"/>
      <w:r w:rsidRPr="00F86C40">
        <w:t xml:space="preserve"> L, </w:t>
      </w:r>
      <w:proofErr w:type="spellStart"/>
      <w:r w:rsidRPr="00F86C40">
        <w:t>Mantri</w:t>
      </w:r>
      <w:proofErr w:type="spellEnd"/>
      <w:r w:rsidRPr="00F86C40">
        <w:t xml:space="preserve"> S, et al. Contribution of neuropsychiatric symptoms in Parkinson’s disease to different domains of caregiver burden. J Neurol. 2021. </w:t>
      </w:r>
      <w:proofErr w:type="gramStart"/>
      <w:r w:rsidRPr="00F86C40">
        <w:t>doi:</w:t>
      </w:r>
      <w:proofErr w:type="gramEnd"/>
      <w:r w:rsidRPr="00F86C40">
        <w:t xml:space="preserve">10.1007/s00415-021-10443-7. </w:t>
      </w:r>
    </w:p>
    <w:p w:rsidR="00F86C40" w:rsidRPr="00F86C40" w:rsidRDefault="00F86C40" w:rsidP="00075918">
      <w:pPr>
        <w:pStyle w:val="Body"/>
        <w:numPr>
          <w:ilvl w:val="0"/>
          <w:numId w:val="18"/>
        </w:numPr>
      </w:pPr>
      <w:r w:rsidRPr="00F86C40">
        <w:t>Choi J, Lee S, Yu S. Exploring factors influencing caregiver burden: a systematic review of family caregivers of older adults with chronic illness in local communities. Healthcare. 2024</w:t>
      </w:r>
      <w:proofErr w:type="gramStart"/>
      <w:r w:rsidRPr="00F86C40">
        <w:t>;12</w:t>
      </w:r>
      <w:proofErr w:type="gramEnd"/>
      <w:r w:rsidRPr="00F86C40">
        <w:t xml:space="preserve">(10):1002. </w:t>
      </w:r>
      <w:proofErr w:type="gramStart"/>
      <w:r w:rsidRPr="00F86C40">
        <w:t>doi:</w:t>
      </w:r>
      <w:proofErr w:type="gramEnd"/>
      <w:r w:rsidRPr="00F86C40">
        <w:t xml:space="preserve">10.3390/healthcare12101002. </w:t>
      </w:r>
    </w:p>
    <w:p w:rsidR="00F86C40" w:rsidRPr="00F86C40" w:rsidRDefault="00F86C40" w:rsidP="00075918">
      <w:pPr>
        <w:pStyle w:val="Body"/>
        <w:numPr>
          <w:ilvl w:val="0"/>
          <w:numId w:val="18"/>
        </w:numPr>
      </w:pPr>
      <w:proofErr w:type="spellStart"/>
      <w:r w:rsidRPr="00F86C40">
        <w:t>Hergert</w:t>
      </w:r>
      <w:proofErr w:type="spellEnd"/>
      <w:r w:rsidRPr="00F86C40">
        <w:t xml:space="preserve"> DC, </w:t>
      </w:r>
      <w:proofErr w:type="spellStart"/>
      <w:r w:rsidRPr="00F86C40">
        <w:t>Cimino</w:t>
      </w:r>
      <w:proofErr w:type="spellEnd"/>
      <w:r w:rsidRPr="00F86C40">
        <w:t xml:space="preserve"> C. Predictors of caregiver burden in Huntington's disease. Arch </w:t>
      </w:r>
      <w:proofErr w:type="spellStart"/>
      <w:r w:rsidRPr="00F86C40">
        <w:t>Clin</w:t>
      </w:r>
      <w:proofErr w:type="spellEnd"/>
      <w:r w:rsidRPr="00F86C40">
        <w:t xml:space="preserve"> </w:t>
      </w:r>
      <w:proofErr w:type="spellStart"/>
      <w:r w:rsidRPr="00F86C40">
        <w:t>Neuropsychol</w:t>
      </w:r>
      <w:proofErr w:type="spellEnd"/>
      <w:r w:rsidRPr="00F86C40">
        <w:t>. 2021. doi:10.1093/</w:t>
      </w:r>
      <w:proofErr w:type="spellStart"/>
      <w:r w:rsidRPr="00F86C40">
        <w:t>arclin</w:t>
      </w:r>
      <w:proofErr w:type="spellEnd"/>
      <w:r w:rsidRPr="00F86C40">
        <w:t xml:space="preserve">/acab009. </w:t>
      </w:r>
    </w:p>
    <w:p w:rsidR="00F86C40" w:rsidRPr="00F86C40" w:rsidRDefault="00F86C40" w:rsidP="00075918">
      <w:pPr>
        <w:pStyle w:val="Body"/>
        <w:numPr>
          <w:ilvl w:val="0"/>
          <w:numId w:val="18"/>
        </w:numPr>
      </w:pPr>
      <w:proofErr w:type="spellStart"/>
      <w:r w:rsidRPr="00F86C40">
        <w:t>Isac</w:t>
      </w:r>
      <w:proofErr w:type="spellEnd"/>
      <w:r w:rsidRPr="00F86C40">
        <w:t xml:space="preserve"> C, Lee P, </w:t>
      </w:r>
      <w:proofErr w:type="spellStart"/>
      <w:r w:rsidRPr="00F86C40">
        <w:t>Arulappan</w:t>
      </w:r>
      <w:proofErr w:type="spellEnd"/>
      <w:r w:rsidRPr="00F86C40">
        <w:t xml:space="preserve"> J. Older adults with chronic illness – caregiver burden in the Asian context: a systematic review. Patient </w:t>
      </w:r>
      <w:proofErr w:type="spellStart"/>
      <w:r w:rsidRPr="00F86C40">
        <w:t>Educ</w:t>
      </w:r>
      <w:proofErr w:type="spellEnd"/>
      <w:r w:rsidRPr="00F86C40">
        <w:t xml:space="preserve"> </w:t>
      </w:r>
      <w:proofErr w:type="spellStart"/>
      <w:r w:rsidRPr="00F86C40">
        <w:t>Couns</w:t>
      </w:r>
      <w:proofErr w:type="spellEnd"/>
      <w:r w:rsidRPr="00F86C40">
        <w:t>. 2021</w:t>
      </w:r>
      <w:proofErr w:type="gramStart"/>
      <w:r w:rsidRPr="00F86C40">
        <w:t>;104</w:t>
      </w:r>
      <w:proofErr w:type="gramEnd"/>
      <w:r w:rsidRPr="00F86C40">
        <w:t xml:space="preserve">(12):2912-21. doi:10.1016/j.pec.2021.04.021. </w:t>
      </w:r>
    </w:p>
    <w:p w:rsidR="00F86C40" w:rsidRPr="00F86C40" w:rsidRDefault="00F86C40" w:rsidP="00075918">
      <w:pPr>
        <w:pStyle w:val="Body"/>
        <w:numPr>
          <w:ilvl w:val="0"/>
          <w:numId w:val="18"/>
        </w:numPr>
      </w:pPr>
      <w:proofErr w:type="spellStart"/>
      <w:r w:rsidRPr="00F86C40">
        <w:lastRenderedPageBreak/>
        <w:t>Juneja</w:t>
      </w:r>
      <w:proofErr w:type="spellEnd"/>
      <w:r w:rsidRPr="00F86C40">
        <w:t xml:space="preserve"> A, </w:t>
      </w:r>
      <w:proofErr w:type="spellStart"/>
      <w:r w:rsidRPr="00F86C40">
        <w:t>Anand</w:t>
      </w:r>
      <w:proofErr w:type="spellEnd"/>
      <w:r w:rsidRPr="00F86C40">
        <w:t xml:space="preserve"> K, Chandra M, Deshpande S, </w:t>
      </w:r>
      <w:proofErr w:type="spellStart"/>
      <w:r w:rsidRPr="00F86C40">
        <w:t>Dhamija</w:t>
      </w:r>
      <w:proofErr w:type="spellEnd"/>
      <w:r w:rsidRPr="00F86C40">
        <w:t xml:space="preserve"> R, </w:t>
      </w:r>
      <w:proofErr w:type="spellStart"/>
      <w:r w:rsidRPr="00F86C40">
        <w:t>Kathuria</w:t>
      </w:r>
      <w:proofErr w:type="spellEnd"/>
      <w:r w:rsidRPr="00F86C40">
        <w:t xml:space="preserve"> P, et al. Neuropsychiatric symptoms and caregiver burden in Parkinson's disease. Ann Indian </w:t>
      </w:r>
      <w:proofErr w:type="spellStart"/>
      <w:r w:rsidRPr="00F86C40">
        <w:t>Acad</w:t>
      </w:r>
      <w:proofErr w:type="spellEnd"/>
      <w:r w:rsidRPr="00F86C40">
        <w:t xml:space="preserve"> Neurol. 2020. doi:10.4103/aian.aian_91_20. </w:t>
      </w:r>
    </w:p>
    <w:p w:rsidR="00F86C40" w:rsidRPr="00F86C40" w:rsidRDefault="00F86C40" w:rsidP="00075918">
      <w:pPr>
        <w:pStyle w:val="Body"/>
        <w:numPr>
          <w:ilvl w:val="0"/>
          <w:numId w:val="18"/>
        </w:numPr>
      </w:pPr>
      <w:proofErr w:type="spellStart"/>
      <w:r w:rsidRPr="00F86C40">
        <w:t>Kalampokini</w:t>
      </w:r>
      <w:proofErr w:type="spellEnd"/>
      <w:r w:rsidRPr="00F86C40">
        <w:t xml:space="preserve"> S, </w:t>
      </w:r>
      <w:proofErr w:type="spellStart"/>
      <w:r w:rsidRPr="00F86C40">
        <w:t>Hommel</w:t>
      </w:r>
      <w:proofErr w:type="spellEnd"/>
      <w:r w:rsidRPr="00F86C40">
        <w:t xml:space="preserve"> ALAJ, </w:t>
      </w:r>
      <w:proofErr w:type="spellStart"/>
      <w:r w:rsidRPr="00F86C40">
        <w:t>Lorenzl</w:t>
      </w:r>
      <w:proofErr w:type="spellEnd"/>
      <w:r w:rsidRPr="00F86C40">
        <w:t xml:space="preserve"> S, Ferreira J, </w:t>
      </w:r>
      <w:proofErr w:type="spellStart"/>
      <w:r w:rsidRPr="00F86C40">
        <w:t>Meissner</w:t>
      </w:r>
      <w:proofErr w:type="spellEnd"/>
      <w:r w:rsidRPr="00F86C40">
        <w:t xml:space="preserve"> W, Odin P, et al. Caregiver burden in late-stage parkinsonism and its associations. J </w:t>
      </w:r>
      <w:proofErr w:type="spellStart"/>
      <w:r w:rsidRPr="00F86C40">
        <w:t>Geriatr</w:t>
      </w:r>
      <w:proofErr w:type="spellEnd"/>
      <w:r w:rsidRPr="00F86C40">
        <w:t xml:space="preserve"> Psychiatry Neurol. 2020. </w:t>
      </w:r>
      <w:proofErr w:type="gramStart"/>
      <w:r w:rsidRPr="00F86C40">
        <w:t>doi:</w:t>
      </w:r>
      <w:proofErr w:type="gramEnd"/>
      <w:r w:rsidRPr="00F86C40">
        <w:t xml:space="preserve">10.1177/0891988720968263. </w:t>
      </w:r>
    </w:p>
    <w:p w:rsidR="00F86C40" w:rsidRPr="00F86C40" w:rsidRDefault="00F86C40" w:rsidP="00075918">
      <w:pPr>
        <w:pStyle w:val="Body"/>
        <w:numPr>
          <w:ilvl w:val="0"/>
          <w:numId w:val="18"/>
        </w:numPr>
      </w:pPr>
      <w:proofErr w:type="spellStart"/>
      <w:r w:rsidRPr="00F86C40">
        <w:t>Klietz</w:t>
      </w:r>
      <w:proofErr w:type="spellEnd"/>
      <w:r w:rsidRPr="00F86C40">
        <w:t xml:space="preserve"> M. Caregiver burden in movement disorders and neurodegenerative diseases: editorial. Brain Sci. 2022</w:t>
      </w:r>
      <w:proofErr w:type="gramStart"/>
      <w:r w:rsidRPr="00F86C40">
        <w:t>;12</w:t>
      </w:r>
      <w:proofErr w:type="gramEnd"/>
      <w:r w:rsidRPr="00F86C40">
        <w:t xml:space="preserve">(9):1184. </w:t>
      </w:r>
      <w:proofErr w:type="gramStart"/>
      <w:r w:rsidRPr="00F86C40">
        <w:t>doi:</w:t>
      </w:r>
      <w:proofErr w:type="gramEnd"/>
      <w:r w:rsidRPr="00F86C40">
        <w:t xml:space="preserve">10.3390/brainsci12091184. </w:t>
      </w:r>
    </w:p>
    <w:p w:rsidR="00F86C40" w:rsidRPr="00F86C40" w:rsidRDefault="00F86C40" w:rsidP="00075918">
      <w:pPr>
        <w:pStyle w:val="Body"/>
        <w:numPr>
          <w:ilvl w:val="0"/>
          <w:numId w:val="18"/>
        </w:numPr>
      </w:pPr>
      <w:proofErr w:type="spellStart"/>
      <w:r w:rsidRPr="00F86C40">
        <w:t>Klietz</w:t>
      </w:r>
      <w:proofErr w:type="spellEnd"/>
      <w:r w:rsidRPr="00F86C40">
        <w:t xml:space="preserve"> M, Drexel SC, </w:t>
      </w:r>
      <w:proofErr w:type="spellStart"/>
      <w:r w:rsidRPr="00F86C40">
        <w:t>Schnur</w:t>
      </w:r>
      <w:proofErr w:type="spellEnd"/>
      <w:r w:rsidRPr="00F86C40">
        <w:t xml:space="preserve"> T, Lange F, Groh A, </w:t>
      </w:r>
      <w:proofErr w:type="spellStart"/>
      <w:r w:rsidRPr="00F86C40">
        <w:t>Paracka</w:t>
      </w:r>
      <w:proofErr w:type="spellEnd"/>
      <w:r w:rsidRPr="00F86C40">
        <w:t xml:space="preserve"> L, et al. Mindfulness and psychological flexibility are inversely associated with caregiver burden in Parkinson’s disease. Brain Sci. 2020</w:t>
      </w:r>
      <w:proofErr w:type="gramStart"/>
      <w:r w:rsidRPr="00F86C40">
        <w:t>;10</w:t>
      </w:r>
      <w:proofErr w:type="gramEnd"/>
      <w:r w:rsidRPr="00F86C40">
        <w:t xml:space="preserve">(2):111. </w:t>
      </w:r>
      <w:proofErr w:type="gramStart"/>
      <w:r w:rsidRPr="00F86C40">
        <w:t>doi:</w:t>
      </w:r>
      <w:proofErr w:type="gramEnd"/>
      <w:r w:rsidRPr="00F86C40">
        <w:t xml:space="preserve">10.3390/brainsci10020111. </w:t>
      </w:r>
    </w:p>
    <w:p w:rsidR="00F86C40" w:rsidRPr="00F86C40" w:rsidRDefault="00F86C40" w:rsidP="00075918">
      <w:pPr>
        <w:pStyle w:val="Body"/>
        <w:numPr>
          <w:ilvl w:val="0"/>
          <w:numId w:val="18"/>
        </w:numPr>
      </w:pPr>
      <w:proofErr w:type="spellStart"/>
      <w:r w:rsidRPr="00F86C40">
        <w:t>Lithin</w:t>
      </w:r>
      <w:proofErr w:type="spellEnd"/>
      <w:r w:rsidRPr="00F86C40">
        <w:t xml:space="preserve"> Z, Thomas PT, </w:t>
      </w:r>
      <w:proofErr w:type="spellStart"/>
      <w:r w:rsidRPr="00F86C40">
        <w:t>Warrier</w:t>
      </w:r>
      <w:proofErr w:type="spellEnd"/>
      <w:r w:rsidRPr="00F86C40">
        <w:t xml:space="preserve"> G, </w:t>
      </w:r>
      <w:proofErr w:type="spellStart"/>
      <w:r w:rsidRPr="00F86C40">
        <w:t>Bhaskar</w:t>
      </w:r>
      <w:proofErr w:type="spellEnd"/>
      <w:r w:rsidRPr="00F86C40">
        <w:t xml:space="preserve"> A, </w:t>
      </w:r>
      <w:proofErr w:type="spellStart"/>
      <w:r w:rsidRPr="00F86C40">
        <w:t>Nashi</w:t>
      </w:r>
      <w:proofErr w:type="spellEnd"/>
      <w:r w:rsidRPr="00F86C40">
        <w:t xml:space="preserve"> S, </w:t>
      </w:r>
      <w:proofErr w:type="spellStart"/>
      <w:r w:rsidRPr="00F86C40">
        <w:t>Vengalil</w:t>
      </w:r>
      <w:proofErr w:type="spellEnd"/>
      <w:r w:rsidRPr="00F86C40">
        <w:t xml:space="preserve"> S, et al. Palliative care needs and caregiver burden in neurodegenerative diseases: a cross-sectional study. Ann Indian </w:t>
      </w:r>
      <w:proofErr w:type="spellStart"/>
      <w:r w:rsidRPr="00F86C40">
        <w:t>Acad</w:t>
      </w:r>
      <w:proofErr w:type="spellEnd"/>
      <w:r w:rsidRPr="00F86C40">
        <w:t xml:space="preserve"> Neurol. 2020. doi:10.4103/aian.AIAN_304_19. </w:t>
      </w:r>
    </w:p>
    <w:p w:rsidR="00F86C40" w:rsidRPr="00F86C40" w:rsidRDefault="00F86C40" w:rsidP="00075918">
      <w:pPr>
        <w:pStyle w:val="Body"/>
        <w:numPr>
          <w:ilvl w:val="0"/>
          <w:numId w:val="18"/>
        </w:numPr>
      </w:pPr>
      <w:r w:rsidRPr="00F86C40">
        <w:t xml:space="preserve">Maguire R, Maguire P. Caregiver burden in multiple sclerosis: recent trends and future directions. </w:t>
      </w:r>
      <w:proofErr w:type="spellStart"/>
      <w:r w:rsidRPr="00F86C40">
        <w:t>Curr</w:t>
      </w:r>
      <w:proofErr w:type="spellEnd"/>
      <w:r w:rsidRPr="00F86C40">
        <w:t xml:space="preserve"> </w:t>
      </w:r>
      <w:proofErr w:type="spellStart"/>
      <w:r w:rsidRPr="00F86C40">
        <w:t>Neurol</w:t>
      </w:r>
      <w:proofErr w:type="spellEnd"/>
      <w:r w:rsidRPr="00F86C40">
        <w:t xml:space="preserve"> </w:t>
      </w:r>
      <w:proofErr w:type="spellStart"/>
      <w:r w:rsidRPr="00F86C40">
        <w:t>Neurosci</w:t>
      </w:r>
      <w:proofErr w:type="spellEnd"/>
      <w:r w:rsidRPr="00F86C40">
        <w:t xml:space="preserve"> Rep. 2020</w:t>
      </w:r>
      <w:proofErr w:type="gramStart"/>
      <w:r w:rsidRPr="00F86C40">
        <w:t>;20</w:t>
      </w:r>
      <w:proofErr w:type="gramEnd"/>
      <w:r w:rsidRPr="00F86C40">
        <w:t xml:space="preserve">(7):18. </w:t>
      </w:r>
      <w:proofErr w:type="gramStart"/>
      <w:r w:rsidRPr="00F86C40">
        <w:t>doi:</w:t>
      </w:r>
      <w:proofErr w:type="gramEnd"/>
      <w:r w:rsidRPr="00F86C40">
        <w:t xml:space="preserve">10.1007/s11910-020-01043-5. </w:t>
      </w:r>
    </w:p>
    <w:p w:rsidR="00F86C40" w:rsidRPr="00F86C40" w:rsidRDefault="00F86C40" w:rsidP="00075918">
      <w:pPr>
        <w:pStyle w:val="Body"/>
        <w:numPr>
          <w:ilvl w:val="0"/>
          <w:numId w:val="18"/>
        </w:numPr>
      </w:pPr>
      <w:r w:rsidRPr="00F86C40">
        <w:t xml:space="preserve">McKenna O, </w:t>
      </w:r>
      <w:proofErr w:type="spellStart"/>
      <w:r w:rsidRPr="00F86C40">
        <w:t>Fakolade</w:t>
      </w:r>
      <w:proofErr w:type="spellEnd"/>
      <w:r w:rsidRPr="00F86C40">
        <w:t xml:space="preserve"> A, Cardwell K, </w:t>
      </w:r>
      <w:proofErr w:type="spellStart"/>
      <w:r w:rsidRPr="00F86C40">
        <w:t>Langlois</w:t>
      </w:r>
      <w:proofErr w:type="spellEnd"/>
      <w:r w:rsidRPr="00F86C40">
        <w:t xml:space="preserve"> N, Jiang K, </w:t>
      </w:r>
      <w:proofErr w:type="spellStart"/>
      <w:r w:rsidRPr="00F86C40">
        <w:t>Pilutti</w:t>
      </w:r>
      <w:proofErr w:type="spellEnd"/>
      <w:r w:rsidRPr="00F86C40">
        <w:t xml:space="preserve"> L. Towards conceptual convergence: a systematic review of psychological resilience in family caregivers of persons living with chronic neurological conditions. Health Expect. 2021. doi:10.1111/hex.13374. </w:t>
      </w:r>
    </w:p>
    <w:p w:rsidR="00F86C40" w:rsidRPr="00F86C40" w:rsidRDefault="00F86C40" w:rsidP="00075918">
      <w:pPr>
        <w:pStyle w:val="Body"/>
        <w:numPr>
          <w:ilvl w:val="0"/>
          <w:numId w:val="18"/>
        </w:numPr>
      </w:pPr>
      <w:proofErr w:type="spellStart"/>
      <w:r w:rsidRPr="00F86C40">
        <w:t>Ponzio</w:t>
      </w:r>
      <w:proofErr w:type="spellEnd"/>
      <w:r w:rsidRPr="00F86C40">
        <w:t xml:space="preserve"> M, </w:t>
      </w:r>
      <w:proofErr w:type="spellStart"/>
      <w:r w:rsidRPr="00F86C40">
        <w:t>Tacchino</w:t>
      </w:r>
      <w:proofErr w:type="spellEnd"/>
      <w:r w:rsidRPr="00F86C40">
        <w:t xml:space="preserve"> A, </w:t>
      </w:r>
      <w:proofErr w:type="spellStart"/>
      <w:r w:rsidRPr="00F86C40">
        <w:t>Verri</w:t>
      </w:r>
      <w:proofErr w:type="spellEnd"/>
      <w:r w:rsidRPr="00F86C40">
        <w:t xml:space="preserve"> A, </w:t>
      </w:r>
      <w:proofErr w:type="spellStart"/>
      <w:r w:rsidRPr="00F86C40">
        <w:t>Battaglia</w:t>
      </w:r>
      <w:proofErr w:type="spellEnd"/>
      <w:r w:rsidRPr="00F86C40">
        <w:t xml:space="preserve"> M, </w:t>
      </w:r>
      <w:proofErr w:type="spellStart"/>
      <w:r w:rsidRPr="00F86C40">
        <w:t>Brichetto</w:t>
      </w:r>
      <w:proofErr w:type="spellEnd"/>
      <w:r w:rsidRPr="00F86C40">
        <w:t xml:space="preserve"> G, </w:t>
      </w:r>
      <w:proofErr w:type="spellStart"/>
      <w:r w:rsidRPr="00F86C40">
        <w:t>Podda</w:t>
      </w:r>
      <w:proofErr w:type="spellEnd"/>
      <w:r w:rsidRPr="00F86C40">
        <w:t xml:space="preserve"> J. Profile and burden of the family caregiver: the caring experience in multiple sclerosis. An observational study. BMC Psychol. 2024</w:t>
      </w:r>
      <w:proofErr w:type="gramStart"/>
      <w:r w:rsidRPr="00F86C40">
        <w:t>;12:1678</w:t>
      </w:r>
      <w:proofErr w:type="gramEnd"/>
      <w:r w:rsidRPr="00F86C40">
        <w:t xml:space="preserve">. </w:t>
      </w:r>
      <w:proofErr w:type="gramStart"/>
      <w:r w:rsidRPr="00F86C40">
        <w:t>doi:</w:t>
      </w:r>
      <w:proofErr w:type="gramEnd"/>
      <w:r w:rsidRPr="00F86C40">
        <w:t xml:space="preserve">10.1186/s40359-024-01678-w. </w:t>
      </w:r>
    </w:p>
    <w:p w:rsidR="00F86C40" w:rsidRPr="00F86C40" w:rsidRDefault="00F86C40" w:rsidP="00075918">
      <w:pPr>
        <w:pStyle w:val="Body"/>
        <w:numPr>
          <w:ilvl w:val="0"/>
          <w:numId w:val="18"/>
        </w:numPr>
      </w:pPr>
      <w:r w:rsidRPr="00F86C40">
        <w:t xml:space="preserve">Pugh J, McCoy KT, Williams AM, </w:t>
      </w:r>
      <w:proofErr w:type="spellStart"/>
      <w:r w:rsidRPr="00F86C40">
        <w:t>Pienaar</w:t>
      </w:r>
      <w:proofErr w:type="spellEnd"/>
      <w:r w:rsidRPr="00F86C40">
        <w:t xml:space="preserve"> C, Bentley B, </w:t>
      </w:r>
      <w:proofErr w:type="spellStart"/>
      <w:r w:rsidRPr="00F86C40">
        <w:t>Monterosso</w:t>
      </w:r>
      <w:proofErr w:type="spellEnd"/>
      <w:r w:rsidRPr="00F86C40">
        <w:t xml:space="preserve"> L. Neurological patient and informal caregiver quality of life, and caregiver burden: a cross-sectional study of </w:t>
      </w:r>
      <w:proofErr w:type="spellStart"/>
      <w:r w:rsidRPr="00F86C40">
        <w:t>postdischarge</w:t>
      </w:r>
      <w:proofErr w:type="spellEnd"/>
      <w:r w:rsidRPr="00F86C40">
        <w:t xml:space="preserve"> community neurological nursing recipients. </w:t>
      </w:r>
      <w:proofErr w:type="spellStart"/>
      <w:r w:rsidRPr="00F86C40">
        <w:t>Contemp</w:t>
      </w:r>
      <w:proofErr w:type="spellEnd"/>
      <w:r w:rsidRPr="00F86C40">
        <w:t xml:space="preserve"> Nurse. 2022. doi:10.1080/10376178.2022.2086892. </w:t>
      </w:r>
    </w:p>
    <w:p w:rsidR="00F86C40" w:rsidRPr="00F86C40" w:rsidRDefault="00F86C40" w:rsidP="00075918">
      <w:pPr>
        <w:pStyle w:val="Body"/>
        <w:numPr>
          <w:ilvl w:val="0"/>
          <w:numId w:val="18"/>
        </w:numPr>
      </w:pPr>
      <w:proofErr w:type="spellStart"/>
      <w:r w:rsidRPr="00F86C40">
        <w:t>Ransmayr</w:t>
      </w:r>
      <w:proofErr w:type="spellEnd"/>
      <w:r w:rsidRPr="00F86C40">
        <w:t xml:space="preserve"> G. Caregiver burden in patients with Parkinson's disease. </w:t>
      </w:r>
      <w:proofErr w:type="spellStart"/>
      <w:r w:rsidRPr="00F86C40">
        <w:t>Fortschr</w:t>
      </w:r>
      <w:proofErr w:type="spellEnd"/>
      <w:r w:rsidRPr="00F86C40">
        <w:t xml:space="preserve"> </w:t>
      </w:r>
      <w:proofErr w:type="spellStart"/>
      <w:r w:rsidRPr="00F86C40">
        <w:t>Neurol</w:t>
      </w:r>
      <w:proofErr w:type="spellEnd"/>
      <w:r w:rsidRPr="00F86C40">
        <w:t xml:space="preserve"> </w:t>
      </w:r>
      <w:proofErr w:type="spellStart"/>
      <w:r w:rsidRPr="00F86C40">
        <w:t>Psychiatr</w:t>
      </w:r>
      <w:proofErr w:type="spellEnd"/>
      <w:r w:rsidRPr="00F86C40">
        <w:t xml:space="preserve">. 2020. </w:t>
      </w:r>
      <w:proofErr w:type="gramStart"/>
      <w:r w:rsidRPr="00F86C40">
        <w:t>doi:</w:t>
      </w:r>
      <w:proofErr w:type="gramEnd"/>
      <w:r w:rsidRPr="00F86C40">
        <w:t xml:space="preserve">10.1055/a-1120-8567. </w:t>
      </w:r>
    </w:p>
    <w:p w:rsidR="00F86C40" w:rsidRPr="00F86C40" w:rsidRDefault="00F86C40" w:rsidP="00075918">
      <w:pPr>
        <w:pStyle w:val="Body"/>
        <w:numPr>
          <w:ilvl w:val="0"/>
          <w:numId w:val="18"/>
        </w:numPr>
      </w:pPr>
      <w:proofErr w:type="spellStart"/>
      <w:r w:rsidRPr="00F86C40">
        <w:t>Ransmayr</w:t>
      </w:r>
      <w:proofErr w:type="spellEnd"/>
      <w:r w:rsidRPr="00F86C40">
        <w:t xml:space="preserve"> G. Challenges of caregiving to neurological patients. Wien Med </w:t>
      </w:r>
      <w:proofErr w:type="spellStart"/>
      <w:r w:rsidRPr="00F86C40">
        <w:t>Wochenschr</w:t>
      </w:r>
      <w:proofErr w:type="spellEnd"/>
      <w:r w:rsidRPr="00F86C40">
        <w:t>. 2021</w:t>
      </w:r>
      <w:proofErr w:type="gramStart"/>
      <w:r w:rsidRPr="00F86C40">
        <w:t>;171</w:t>
      </w:r>
      <w:proofErr w:type="gramEnd"/>
      <w:r w:rsidRPr="00F86C40">
        <w:t xml:space="preserve">(11-12):282-8. </w:t>
      </w:r>
      <w:proofErr w:type="gramStart"/>
      <w:r w:rsidRPr="00F86C40">
        <w:t>doi:</w:t>
      </w:r>
      <w:proofErr w:type="gramEnd"/>
      <w:r w:rsidRPr="00F86C40">
        <w:t xml:space="preserve">10.1007/s10354-021-00844-8. </w:t>
      </w:r>
    </w:p>
    <w:p w:rsidR="00F86C40" w:rsidRPr="00F86C40" w:rsidRDefault="00F86C40" w:rsidP="00075918">
      <w:pPr>
        <w:pStyle w:val="Body"/>
        <w:numPr>
          <w:ilvl w:val="0"/>
          <w:numId w:val="18"/>
        </w:numPr>
      </w:pPr>
      <w:proofErr w:type="spellStart"/>
      <w:r w:rsidRPr="00F86C40">
        <w:t>Rezaei</w:t>
      </w:r>
      <w:proofErr w:type="spellEnd"/>
      <w:r w:rsidRPr="00F86C40">
        <w:t xml:space="preserve"> H, </w:t>
      </w:r>
      <w:proofErr w:type="spellStart"/>
      <w:r w:rsidRPr="00F86C40">
        <w:t>Niksima</w:t>
      </w:r>
      <w:proofErr w:type="spellEnd"/>
      <w:r w:rsidRPr="00F86C40">
        <w:t xml:space="preserve"> SH, </w:t>
      </w:r>
      <w:proofErr w:type="spellStart"/>
      <w:r w:rsidRPr="00F86C40">
        <w:t>Gheshlagh</w:t>
      </w:r>
      <w:proofErr w:type="spellEnd"/>
      <w:r w:rsidRPr="00F86C40">
        <w:t xml:space="preserve"> RG. Burden of care in caregivers of Iranian patients with chronic disorders: a systematic review and meta-analysis. Health </w:t>
      </w:r>
      <w:proofErr w:type="spellStart"/>
      <w:r w:rsidRPr="00F86C40">
        <w:t>Qual</w:t>
      </w:r>
      <w:proofErr w:type="spellEnd"/>
      <w:r w:rsidRPr="00F86C40">
        <w:t xml:space="preserve"> Life Outcomes. 2020</w:t>
      </w:r>
      <w:proofErr w:type="gramStart"/>
      <w:r w:rsidRPr="00F86C40">
        <w:t>;18:304</w:t>
      </w:r>
      <w:proofErr w:type="gramEnd"/>
      <w:r w:rsidRPr="00F86C40">
        <w:t xml:space="preserve">. </w:t>
      </w:r>
      <w:proofErr w:type="gramStart"/>
      <w:r w:rsidRPr="00F86C40">
        <w:t>doi:</w:t>
      </w:r>
      <w:proofErr w:type="gramEnd"/>
      <w:r w:rsidRPr="00F86C40">
        <w:t xml:space="preserve">10.1186/s12955-020-01503-z. </w:t>
      </w:r>
    </w:p>
    <w:p w:rsidR="00F86C40" w:rsidRPr="00F86C40" w:rsidRDefault="00F86C40" w:rsidP="00075918">
      <w:pPr>
        <w:pStyle w:val="Body"/>
        <w:numPr>
          <w:ilvl w:val="0"/>
          <w:numId w:val="18"/>
        </w:numPr>
      </w:pPr>
      <w:proofErr w:type="spellStart"/>
      <w:r w:rsidRPr="00F86C40">
        <w:t>Schischlevskij</w:t>
      </w:r>
      <w:proofErr w:type="spellEnd"/>
      <w:r w:rsidRPr="00F86C40">
        <w:t xml:space="preserve"> P, </w:t>
      </w:r>
      <w:proofErr w:type="spellStart"/>
      <w:r w:rsidRPr="00F86C40">
        <w:t>Cordts</w:t>
      </w:r>
      <w:proofErr w:type="spellEnd"/>
      <w:r w:rsidRPr="00F86C40">
        <w:t xml:space="preserve"> I, </w:t>
      </w:r>
      <w:proofErr w:type="spellStart"/>
      <w:r w:rsidRPr="00F86C40">
        <w:t>Günther</w:t>
      </w:r>
      <w:proofErr w:type="spellEnd"/>
      <w:r w:rsidRPr="00F86C40">
        <w:t xml:space="preserve"> R, </w:t>
      </w:r>
      <w:proofErr w:type="spellStart"/>
      <w:r w:rsidRPr="00F86C40">
        <w:t>Stolte</w:t>
      </w:r>
      <w:proofErr w:type="spellEnd"/>
      <w:r w:rsidRPr="00F86C40">
        <w:t xml:space="preserve"> B, Zeller D, </w:t>
      </w:r>
      <w:proofErr w:type="spellStart"/>
      <w:r w:rsidRPr="00F86C40">
        <w:t>Schröter</w:t>
      </w:r>
      <w:proofErr w:type="spellEnd"/>
      <w:r w:rsidRPr="00F86C40">
        <w:t xml:space="preserve"> C, et al. Informal caregiving in amyotrophic lateral sclerosis (ALS): a high caregiver burden and drastic consequences on caregivers’ lives. Brain Sci. 2021</w:t>
      </w:r>
      <w:proofErr w:type="gramStart"/>
      <w:r w:rsidRPr="00F86C40">
        <w:t>;11</w:t>
      </w:r>
      <w:proofErr w:type="gramEnd"/>
      <w:r w:rsidRPr="00F86C40">
        <w:t xml:space="preserve">(6):748. </w:t>
      </w:r>
      <w:proofErr w:type="gramStart"/>
      <w:r w:rsidRPr="00F86C40">
        <w:t>doi:</w:t>
      </w:r>
      <w:proofErr w:type="gramEnd"/>
      <w:r w:rsidRPr="00F86C40">
        <w:t xml:space="preserve">10.3390/brainsci11060748. </w:t>
      </w:r>
    </w:p>
    <w:p w:rsidR="00F86C40" w:rsidRPr="00F86C40" w:rsidRDefault="00F86C40" w:rsidP="00075918">
      <w:pPr>
        <w:pStyle w:val="Body"/>
        <w:numPr>
          <w:ilvl w:val="0"/>
          <w:numId w:val="18"/>
        </w:numPr>
      </w:pPr>
      <w:r w:rsidRPr="00F86C40">
        <w:t xml:space="preserve">Wu P, </w:t>
      </w:r>
      <w:proofErr w:type="spellStart"/>
      <w:r w:rsidRPr="00F86C40">
        <w:t>Zheng</w:t>
      </w:r>
      <w:proofErr w:type="spellEnd"/>
      <w:r w:rsidRPr="00F86C40">
        <w:t xml:space="preserve"> Y, Fan X, Wang H, Deng XM, Sun B, et al. Predictors of caregiver burden in patients with neurologic Wilson disease. J </w:t>
      </w:r>
      <w:proofErr w:type="spellStart"/>
      <w:r w:rsidRPr="00F86C40">
        <w:t>Int</w:t>
      </w:r>
      <w:proofErr w:type="spellEnd"/>
      <w:r w:rsidRPr="00F86C40">
        <w:t xml:space="preserve"> Med Res. 2020</w:t>
      </w:r>
      <w:proofErr w:type="gramStart"/>
      <w:r w:rsidRPr="00F86C40">
        <w:t>;48</w:t>
      </w:r>
      <w:proofErr w:type="gramEnd"/>
      <w:r w:rsidRPr="00F86C40">
        <w:t xml:space="preserve">(7). </w:t>
      </w:r>
      <w:proofErr w:type="gramStart"/>
      <w:r w:rsidRPr="00F86C40">
        <w:t>doi:</w:t>
      </w:r>
      <w:proofErr w:type="gramEnd"/>
      <w:r w:rsidRPr="00F86C40">
        <w:t xml:space="preserve">10.1177/0300060520930156. </w:t>
      </w:r>
    </w:p>
    <w:p w:rsidR="00441E67" w:rsidRPr="004175AC" w:rsidRDefault="00441E67" w:rsidP="00F86C40">
      <w:pPr>
        <w:pStyle w:val="Body"/>
      </w:pPr>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35C" w:rsidRDefault="00BB135C" w:rsidP="005146DA">
      <w:pPr>
        <w:spacing w:after="0" w:line="240" w:lineRule="auto"/>
      </w:pPr>
      <w:r>
        <w:separator/>
      </w:r>
    </w:p>
  </w:endnote>
  <w:endnote w:type="continuationSeparator" w:id="0">
    <w:p w:rsidR="00BB135C" w:rsidRDefault="00BB135C"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35C" w:rsidRDefault="00BB135C" w:rsidP="005146DA">
      <w:pPr>
        <w:spacing w:after="0" w:line="240" w:lineRule="auto"/>
      </w:pPr>
      <w:r>
        <w:separator/>
      </w:r>
    </w:p>
  </w:footnote>
  <w:footnote w:type="continuationSeparator" w:id="0">
    <w:p w:rsidR="00BB135C" w:rsidRDefault="00BB135C"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744114">
          <w:rPr>
            <w:rStyle w:val="BodyChar"/>
            <w:rFonts w:cstheme="majorBidi"/>
            <w:color w:val="074F6A"/>
            <w:sz w:val="18"/>
            <w:vertAlign w:val="subscript"/>
          </w:rPr>
          <w:t>1993</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8A157F" w:rsidRPr="008A157F">
          <w:rPr>
            <w:rStyle w:val="BodyChar"/>
            <w:rFonts w:cstheme="majorBidi"/>
            <w:noProof/>
            <w:color w:val="074F6A"/>
            <w:vertAlign w:val="subscript"/>
          </w:rPr>
          <w:t>10</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744114" w:rsidRPr="00744114">
      <w:rPr>
        <w:rFonts w:ascii="Plantagenet Cherokee" w:hAnsi="Plantagenet Cherokee"/>
        <w:color w:val="0B769F" w:themeColor="accent4" w:themeShade="BF"/>
        <w:sz w:val="14"/>
        <w:szCs w:val="14"/>
      </w:rPr>
      <w:t>10.61919/jhrr.v6i3.1993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6">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D5566"/>
    <w:multiLevelType w:val="hybridMultilevel"/>
    <w:tmpl w:val="EE26C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B7729F"/>
    <w:multiLevelType w:val="multilevel"/>
    <w:tmpl w:val="27F41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6"/>
  </w:num>
  <w:num w:numId="4">
    <w:abstractNumId w:val="12"/>
  </w:num>
  <w:num w:numId="5">
    <w:abstractNumId w:val="13"/>
  </w:num>
  <w:num w:numId="6">
    <w:abstractNumId w:val="3"/>
  </w:num>
  <w:num w:numId="7">
    <w:abstractNumId w:val="15"/>
  </w:num>
  <w:num w:numId="8">
    <w:abstractNumId w:val="9"/>
  </w:num>
  <w:num w:numId="9">
    <w:abstractNumId w:val="1"/>
  </w:num>
  <w:num w:numId="10">
    <w:abstractNumId w:val="11"/>
  </w:num>
  <w:num w:numId="11">
    <w:abstractNumId w:val="2"/>
  </w:num>
  <w:num w:numId="12">
    <w:abstractNumId w:val="0"/>
  </w:num>
  <w:num w:numId="13">
    <w:abstractNumId w:val="4"/>
  </w:num>
  <w:num w:numId="14">
    <w:abstractNumId w:val="8"/>
  </w:num>
  <w:num w:numId="15">
    <w:abstractNumId w:val="16"/>
  </w:num>
  <w:num w:numId="16">
    <w:abstractNumId w:val="10"/>
  </w:num>
  <w:num w:numId="17">
    <w:abstractNumId w:val="17"/>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40"/>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5918"/>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E65E4"/>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4114"/>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57F"/>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35C"/>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0FA"/>
    <w:rsid w:val="00D95A42"/>
    <w:rsid w:val="00D962E5"/>
    <w:rsid w:val="00D96A92"/>
    <w:rsid w:val="00D96E92"/>
    <w:rsid w:val="00D97670"/>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86C40"/>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5:chartTrackingRefBased/>
  <w15:docId w15:val="{F1A90188-4097-4209-894A-86584349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19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7327B-490F-41D2-B39B-0714524A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30</TotalTime>
  <Pages>10</Pages>
  <Words>6832</Words>
  <Characters>38944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4</cp:revision>
  <cp:lastPrinted>2026-04-24T11:38:00Z</cp:lastPrinted>
  <dcterms:created xsi:type="dcterms:W3CDTF">2026-06-02T06:03:00Z</dcterms:created>
  <dcterms:modified xsi:type="dcterms:W3CDTF">2026-06-03T09:04:00Z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