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5C4F64" w:rsidRPr="00BB7230" w:rsidRDefault="000654A2" w:rsidP="00335DDB">
      <w:pPr>
        <w:pStyle w:val="Body"/>
        <w:tabs>
          <w:tab w:val="left" w:pos="3888"/>
        </w:tabs>
        <w:spacing w:line="240" w:lineRule="auto"/>
        <w:rPr>
          <w:rFonts w:cstheme="majorBidi"/>
          <w:b/>
          <w:bCs/>
          <w:color w:val="000000" w:themeColor="text1"/>
          <w:sz w:val="36"/>
          <w:szCs w:val="36"/>
        </w:rPr>
      </w:pPr>
      <w:r w:rsidRPr="000654A2">
        <w:rPr>
          <w:rFonts w:cstheme="majorBidi"/>
          <w:b/>
          <w:bCs/>
          <w:color w:val="000000" w:themeColor="text1"/>
          <w:sz w:val="36"/>
          <w:szCs w:val="36"/>
          <w:lang w:val="en-GB"/>
        </w:rPr>
        <w:t>Post-Stroke Cognitive Impairment and Predictors of Poor Clinical Outcome: A Cross-Sectional Study at Mayo Hospital Lahore, Pakistan</w:t>
      </w:r>
    </w:p>
    <w:p w:rsidR="00E202E9" w:rsidRPr="000654A2" w:rsidRDefault="007C1877" w:rsidP="000654A2">
      <w:pPr>
        <w:pStyle w:val="Body"/>
        <w:spacing w:before="75"/>
        <w:rPr>
          <w:rFonts w:cstheme="majorBidi"/>
          <w:b/>
          <w:bCs/>
          <w:color w:val="074F6A" w:themeColor="accent4" w:themeShade="80"/>
        </w:rPr>
      </w:pPr>
      <w:r w:rsidRPr="007C1877">
        <w:rPr>
          <w:rFonts w:cstheme="majorBidi"/>
          <w:b/>
          <w:bCs/>
          <w:color w:val="074F6A" w:themeColor="accent4" w:themeShade="80"/>
          <w:sz w:val="24"/>
          <w:szCs w:val="24"/>
        </w:rPr>
        <w:t xml:space="preserve">Dr. </w:t>
      </w:r>
      <w:proofErr w:type="spellStart"/>
      <w:r w:rsidR="000654A2">
        <w:rPr>
          <w:rFonts w:cstheme="majorBidi"/>
          <w:b/>
          <w:bCs/>
          <w:color w:val="074F6A" w:themeColor="accent4" w:themeShade="80"/>
        </w:rPr>
        <w:t>Alveena</w:t>
      </w:r>
      <w:proofErr w:type="spellEnd"/>
      <w:r w:rsidR="000654A2">
        <w:rPr>
          <w:rFonts w:cstheme="majorBidi"/>
          <w:b/>
          <w:bCs/>
          <w:color w:val="074F6A" w:themeColor="accent4" w:themeShade="80"/>
        </w:rPr>
        <w:t xml:space="preserve"> S</w:t>
      </w:r>
      <w:r w:rsidR="000654A2" w:rsidRPr="000654A2">
        <w:rPr>
          <w:rFonts w:cstheme="majorBidi"/>
          <w:b/>
          <w:bCs/>
          <w:color w:val="074F6A" w:themeColor="accent4" w:themeShade="80"/>
        </w:rPr>
        <w:t>had</w:t>
      </w:r>
    </w:p>
    <w:p w:rsidR="00607EA1" w:rsidRPr="00BB7230" w:rsidRDefault="000654A2" w:rsidP="004175AC">
      <w:pPr>
        <w:pStyle w:val="Body"/>
        <w:spacing w:before="75" w:after="75" w:line="240" w:lineRule="auto"/>
        <w:rPr>
          <w:rFonts w:cstheme="majorBidi"/>
          <w:color w:val="000000" w:themeColor="text1"/>
          <w:sz w:val="18"/>
          <w:szCs w:val="16"/>
        </w:rPr>
      </w:pPr>
      <w:r>
        <w:rPr>
          <w:rFonts w:cstheme="majorBidi"/>
          <w:color w:val="000000" w:themeColor="text1"/>
          <w:sz w:val="18"/>
          <w:szCs w:val="16"/>
        </w:rPr>
        <w:t xml:space="preserve">¹University of Management and </w:t>
      </w:r>
      <w:proofErr w:type="spellStart"/>
      <w:r>
        <w:rPr>
          <w:rFonts w:cstheme="majorBidi"/>
          <w:color w:val="000000" w:themeColor="text1"/>
          <w:sz w:val="18"/>
          <w:szCs w:val="16"/>
        </w:rPr>
        <w:t>Science</w:t>
      </w:r>
      <w:proofErr w:type="gramStart"/>
      <w:r w:rsidR="007C1877" w:rsidRPr="007C1877">
        <w:rPr>
          <w:rFonts w:cstheme="majorBidi"/>
          <w:color w:val="000000" w:themeColor="text1"/>
          <w:sz w:val="18"/>
          <w:szCs w:val="16"/>
        </w:rPr>
        <w:t>,</w:t>
      </w:r>
      <w:r>
        <w:rPr>
          <w:rFonts w:cstheme="majorBidi"/>
          <w:color w:val="000000" w:themeColor="text1"/>
          <w:sz w:val="18"/>
          <w:szCs w:val="16"/>
        </w:rPr>
        <w:t>Lahore</w:t>
      </w:r>
      <w:proofErr w:type="spellEnd"/>
      <w:proofErr w:type="gramEnd"/>
      <w:r w:rsidR="007C1877" w:rsidRPr="007C1877">
        <w:rPr>
          <w:rFonts w:cstheme="majorBidi"/>
          <w:color w:val="000000" w:themeColor="text1"/>
          <w:sz w:val="18"/>
          <w:szCs w:val="16"/>
        </w:rPr>
        <w:t xml:space="preserve"> Pakistan</w:t>
      </w:r>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0654A2">
        <w:rPr>
          <w:rFonts w:cstheme="majorBidi"/>
          <w:b/>
          <w:bCs/>
          <w:color w:val="074F6A" w:themeColor="accent4" w:themeShade="80"/>
          <w:sz w:val="18"/>
          <w:szCs w:val="16"/>
          <w:lang w:val="pt-BR"/>
        </w:rPr>
        <w:t>Dr. Alveena Shad</w:t>
      </w:r>
      <w:r w:rsidR="007C1877" w:rsidRPr="007C1877">
        <w:rPr>
          <w:rFonts w:cstheme="majorBidi"/>
          <w:b/>
          <w:bCs/>
          <w:color w:val="074F6A" w:themeColor="accent4" w:themeShade="80"/>
          <w:sz w:val="18"/>
          <w:szCs w:val="16"/>
          <w:lang w:val="pt-BR"/>
        </w:rPr>
        <w:t xml:space="preserve">, </w:t>
      </w:r>
      <w:r w:rsidR="000654A2" w:rsidRPr="000654A2">
        <w:rPr>
          <w:rFonts w:cstheme="majorBidi"/>
          <w:b/>
          <w:bCs/>
          <w:color w:val="074F6A" w:themeColor="accent4" w:themeShade="80"/>
          <w:sz w:val="18"/>
          <w:szCs w:val="16"/>
          <w:lang w:val="en-GB"/>
        </w:rPr>
        <w:t>alveenashad330@gmail</w:t>
      </w:r>
      <w:r w:rsidR="000654A2" w:rsidRPr="000654A2">
        <w:rPr>
          <w:rFonts w:cstheme="majorBidi"/>
          <w:b/>
          <w:bCs/>
          <w:color w:val="074F6A" w:themeColor="accent4" w:themeShade="80"/>
          <w:sz w:val="18"/>
          <w:szCs w:val="16"/>
          <w:lang w:val="pt-BR"/>
        </w:rPr>
        <w:t xml:space="preserve"> </w:t>
      </w:r>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January</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February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31 March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0654A2">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AS; Design: AS Data Collection: AS; Analysis: AS; Drafting: AS</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005B1AB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University of Management and Science </w:t>
      </w:r>
      <w:proofErr w:type="spellStart"/>
      <w:r w:rsidR="005B1AB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Lahore</w:t>
      </w:r>
      <w:proofErr w:type="gramStart"/>
      <w:r w:rsidR="005B1AB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Pakistan</w:t>
      </w:r>
      <w:proofErr w:type="spellEnd"/>
      <w:proofErr w:type="gramEnd"/>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2874F8">
      <w:pPr>
        <w:pStyle w:val="Heading1"/>
      </w:pPr>
      <w:r w:rsidRPr="00BB7230">
        <w:t>Abstract</w:t>
      </w:r>
    </w:p>
    <w:p w:rsidR="000654A2" w:rsidRPr="000654A2" w:rsidRDefault="000654A2" w:rsidP="000654A2">
      <w:pPr>
        <w:pStyle w:val="Body"/>
      </w:pPr>
      <w:r w:rsidRPr="000654A2">
        <w:t xml:space="preserve">Background: Post-stroke cognitive impairment is a common yet </w:t>
      </w:r>
      <w:proofErr w:type="spellStart"/>
      <w:r w:rsidRPr="000654A2">
        <w:t>underrecognized</w:t>
      </w:r>
      <w:proofErr w:type="spellEnd"/>
      <w:r w:rsidRPr="000654A2">
        <w:t xml:space="preserve"> neurological complication that substantially affects functional recovery, rehabilitation outcomes, and quality of life among stroke survivors. The burden of cognitive dysfunction following stroke remains inadequately explored in low- and middle-income countries, including Pakistan, where routine neurocognitive screening is not consistently integrated into stroke care. Objective: To determine the frequency of post-stroke cognitive impairment and identify predictors of poor clinical outcomes among stroke survivors presenting to a tertiary care hospital in Pakistan. Methods: This cross-sectional observational study was conducted at the Department of Neurology, Mayo Hospital Lahore, Pakistan. A total of 68 clinically stable post-stroke patients were consecutively enrolled. Demographic characteristics, vascular comorbidities, stroke severity using the National Institutes of Health Stroke Scale (NIHSS), and cognitive outcomes were assessed through structured clinical evaluation. Inferential statistical analysis was performed using logistic regression, and results were reported as odds ratios (ORs), relative risks (RRs), 95% confidence intervals (CIs), and p-values. Results: Post-stroke cognitive impairment was identified in 58.8% of patients, including mild impairment in 35.3%, moderate impairment in 16.2%, and severe impairment in 7.4% of participants. Poor clinical </w:t>
      </w:r>
      <w:proofErr w:type="gramStart"/>
      <w:r w:rsidRPr="000654A2">
        <w:t>outcomes</w:t>
      </w:r>
      <w:proofErr w:type="gramEnd"/>
      <w:r w:rsidRPr="000654A2">
        <w:t xml:space="preserve"> were observed in 38.2% of patients, while persistent cognitive impairment at follow-up occurred in 51.5%. Higher NIHSS scores (OR: 3.85; 95% CI: 1.85–8.02; p&lt;0.001), lower educational status (OR: 0.52; 95% CI: 0.34–0.79; p=0.002), baseline cognitive impairment (RR: 1.96; 95% CI: 1.24–3.08; p=0.004), diabetes mellitus (RR: 1.34; 95% CI: 1.03–1.74; p=0.031), and older age (OR: 1.04; 95% CI: 1.00–1.08; p=0.047) were significantly associated with poor clinical outcomes. Conclusion: Post-stroke cognitive impairment was highly prevalent among stroke survivors and was strongly associated with adverse neurological and functional outcomes. Early neurocognitive assessment and targeted multidisciplinary rehabilitation strategies may improve long-term recovery and quality of life in this vulnerable population. Keywords: Stroke; Cognitive Impairment; Neurocognitive Dysfunction; NIHSS; Clinical Outcomes; Rehabilitation; Pakistan; Stroke Survivors.</w:t>
      </w:r>
    </w:p>
    <w:p w:rsidR="000654A2" w:rsidRPr="000654A2" w:rsidRDefault="000654A2" w:rsidP="000654A2">
      <w:pPr>
        <w:pStyle w:val="Body"/>
      </w:pPr>
    </w:p>
    <w:p w:rsidR="000654A2" w:rsidRPr="000654A2" w:rsidRDefault="000654A2" w:rsidP="002874F8">
      <w:pPr>
        <w:pStyle w:val="Heading1"/>
      </w:pPr>
      <w:r w:rsidRPr="000654A2">
        <w:t>Introduction</w:t>
      </w:r>
    </w:p>
    <w:p w:rsidR="000654A2" w:rsidRPr="000654A2" w:rsidRDefault="000654A2" w:rsidP="000654A2">
      <w:pPr>
        <w:pStyle w:val="Body"/>
      </w:pPr>
      <w:r w:rsidRPr="000654A2">
        <w:t xml:space="preserve">Stroke remains one of the leading causes of long-term neurological disability and mortality worldwide, with a substantial proportion of survivors developing persistent cognitive dysfunction that adversely affects independence, rehabilitation outcomes, social participation, and quality of life (1). Post-stroke cognitive impairment encompasses a broad spectrum of deficits involving memory, attention, executive functioning, </w:t>
      </w:r>
      <w:proofErr w:type="spellStart"/>
      <w:r w:rsidRPr="000654A2">
        <w:t>visuospatial</w:t>
      </w:r>
      <w:proofErr w:type="spellEnd"/>
      <w:r w:rsidRPr="000654A2">
        <w:t xml:space="preserve"> ability, and language processing that may occur following both ischemic and hemorrhagic stroke events (2). Contemporary evidence suggests that cognitive impairment after stroke is highly prevalent despite advancements in acute stroke management and </w:t>
      </w:r>
      <w:proofErr w:type="spellStart"/>
      <w:r w:rsidRPr="000654A2">
        <w:t>neurorehabilitation</w:t>
      </w:r>
      <w:proofErr w:type="spellEnd"/>
      <w:r w:rsidRPr="000654A2">
        <w:t xml:space="preserve"> strategies, emphasizing its growing clinical and public health significance (3). The burden of post-stroke cognitive dysfunction is particularly concerning in low- and middle-income countries where delayed presentation, limited rehabilitation infrastructure, and inadequate long-term neurological follow-up may worsen patient outcomes (4).</w:t>
      </w:r>
    </w:p>
    <w:p w:rsidR="000654A2" w:rsidRPr="000654A2" w:rsidRDefault="000654A2" w:rsidP="000654A2">
      <w:pPr>
        <w:pStyle w:val="Body"/>
      </w:pPr>
      <w:r w:rsidRPr="000654A2">
        <w:t xml:space="preserve">The pathophysiology of post-stroke cognitive impairment is multifactorial and involves direct ischemic neuronal injury, disruption of cortical-subcortical neural networks, </w:t>
      </w:r>
      <w:proofErr w:type="spellStart"/>
      <w:r w:rsidRPr="000654A2">
        <w:t>neuroinflammation</w:t>
      </w:r>
      <w:proofErr w:type="spellEnd"/>
      <w:r w:rsidRPr="000654A2">
        <w:t xml:space="preserve">, cerebral small vessel disease, and </w:t>
      </w:r>
      <w:r w:rsidRPr="000654A2">
        <w:lastRenderedPageBreak/>
        <w:t>preexisting vascular risk factors (5). Several studies have demonstrated that lesion location, infarct volume, stroke severity, recurrent cerebrovascular events, advanced age, diabetes mellitus, hypertension, and lower educational attainment contribute substantially to cognitive decline following stroke (6</w:t>
      </w:r>
      <w:proofErr w:type="gramStart"/>
      <w:r w:rsidRPr="000654A2">
        <w:t>,7</w:t>
      </w:r>
      <w:proofErr w:type="gramEnd"/>
      <w:r w:rsidRPr="000654A2">
        <w:t>). Educational level has been increasingly recognized as a protective factor through the concept of cognitive reserve, whereby individuals with higher educational exposure demonstrate greater resilience against neurovascular injury and functional decline (8). Similarly, higher National Institutes of Health Stroke Scale (NIHSS) scores have consistently been associated with worse neurocognitive and functional outcomes due to greater neurological impairment and extensive cerebral damage (9).</w:t>
      </w:r>
    </w:p>
    <w:p w:rsidR="000654A2" w:rsidRPr="000654A2" w:rsidRDefault="000654A2" w:rsidP="000654A2">
      <w:pPr>
        <w:pStyle w:val="Body"/>
      </w:pPr>
      <w:r w:rsidRPr="000654A2">
        <w:t>Recent international investigations have reported considerable variability in the prevalence of post-stroke cognitive impairment, ranging from approximately 20% to over 70%, depending on study design, assessment tools, stroke subtype, and duration of follow-up (10). The Nor-COAST study demonstrated that cognitive impairment remains highly prevalent across multiple follow-up intervals after stroke and may persist despite recovery of motor deficits (11). Likewise, pooled analyses and systematic reviews have confirmed that cognitive dysfunction significantly reduces functional independence, limits participation in rehabilitation, and increases the risk of poor long-term clinical outcomes and dementia (12</w:t>
      </w:r>
      <w:proofErr w:type="gramStart"/>
      <w:r w:rsidRPr="000654A2">
        <w:t>,13</w:t>
      </w:r>
      <w:proofErr w:type="gramEnd"/>
      <w:r w:rsidRPr="000654A2">
        <w:t>). Emerging evidence further indicates that persistent cognitive impairment after stroke contributes to reduced treatment adherence, impaired self-care capacity, recurrent hospitalization, and diminished quality of life (14).</w:t>
      </w:r>
    </w:p>
    <w:p w:rsidR="000654A2" w:rsidRPr="000654A2" w:rsidRDefault="000654A2" w:rsidP="000654A2">
      <w:pPr>
        <w:pStyle w:val="Body"/>
      </w:pPr>
      <w:r w:rsidRPr="000654A2">
        <w:t xml:space="preserve">Although extensive literature from high-income settings has explored the epidemiology and determinants of post-stroke cognitive impairment, evidence from Pakistan and other South Asian countries remains limited. Most local stroke research has predominantly focused on mortality, motor disability, and acute neurological complications, while cognitive outcomes remain </w:t>
      </w:r>
      <w:proofErr w:type="spellStart"/>
      <w:r w:rsidRPr="000654A2">
        <w:t>underrecognized</w:t>
      </w:r>
      <w:proofErr w:type="spellEnd"/>
      <w:r w:rsidRPr="000654A2">
        <w:t xml:space="preserve"> and underreported in routine clinical practice. In resource-constrained healthcare systems, the absence of structured neurocognitive assessment may delay diagnosis and rehabilitation planning, thereby contributing to unfavorable functional recovery. Furthermore, sociocultural factors, educational disparities, and the high prevalence of vascular comorbidities in Pakistan may influence the pattern and severity of cognitive dysfunction after stroke differently from Western populations. Therefore, locally generated evidence is necessary to better characterize the burden and predictors of cognitive impairment among Pakistani stroke survivors and to guide context-specific rehabilitation strategies.</w:t>
      </w:r>
    </w:p>
    <w:p w:rsidR="000654A2" w:rsidRPr="000654A2" w:rsidRDefault="000654A2" w:rsidP="000654A2">
      <w:pPr>
        <w:pStyle w:val="Body"/>
      </w:pPr>
      <w:r w:rsidRPr="000654A2">
        <w:t>Given the limited regional data and the clinical importance of early identification of high-risk patients, this study was conducted to determine the frequency of post-stroke cognitive impairment and evaluate predictors of poor clinical outcomes among stroke survivors presenting to a tertiary care hospital in Pakistan. We hypothesized that greater stroke severity, lower educational status, older age, and vascular comorbidities would be significantly associated with adverse clinical outcomes and persistent cognitive impairment following stroke.</w:t>
      </w:r>
    </w:p>
    <w:p w:rsidR="000654A2" w:rsidRPr="000654A2" w:rsidRDefault="000654A2" w:rsidP="002874F8">
      <w:pPr>
        <w:pStyle w:val="Heading1"/>
      </w:pPr>
      <w:r w:rsidRPr="000654A2">
        <w:t>Material and methods</w:t>
      </w:r>
    </w:p>
    <w:p w:rsidR="000654A2" w:rsidRPr="000654A2" w:rsidRDefault="000654A2" w:rsidP="000654A2">
      <w:pPr>
        <w:pStyle w:val="Body"/>
      </w:pPr>
      <w:r w:rsidRPr="000654A2">
        <w:t>A cross-sectional observational study was conducted at the Department of Neurology, Mayo Hospital Lahore, Pakistan, to evaluate the frequency of post-stroke cognitive impairment and identify predictors of poor clinical outcomes among stroke survivors presenting to a tertiary care healthcare facility. The study was carried out over a defined recruitment period during which eligible patients attending neurology inpatient and outpatient services were consecutively enrolled. The study design was selected because of its suitability for estimating the burden of cognitive impairment and evaluating associations between demographic, clinical, and vascular risk factors with post-stroke outcomes in a real-world clinical setting. Ethical approval for the study was obtained from the institutional ethical review committee prior to participant recruitment, and all procedures were conducted in accordance with the Declaration of Helsinki principles. Written informed consent was obtained from all participants or their legally authorized attendants before enrollment.</w:t>
      </w:r>
    </w:p>
    <w:p w:rsidR="000654A2" w:rsidRPr="000654A2" w:rsidRDefault="000654A2" w:rsidP="000654A2">
      <w:pPr>
        <w:pStyle w:val="Body"/>
      </w:pPr>
      <w:r w:rsidRPr="000654A2">
        <w:t>Adult patients with a confirmed diagnosis of stroke based on clinical evaluation and neuroimaging findings were included in the study. Both ischemic and hemorrhagic stroke survivors who were clinically stable and able to participate in cognitive assessment were considered eligible. Patients with preexisting dementia, severe psychiatric illness, neurodegenerative disorders, profound aphasia preventing meaningful assessment, reduced consciousness, severe hearing or visual impairment interfering with cognitive testing, or other neurological conditions independently associated with cognitive decline were excluded to minimize confounding. Participants were recruited using a non-probability consecutive sampling technique to reduce selection bias and improve representativeness of the accessible stroke population presenting to the tertiary care center.</w:t>
      </w:r>
    </w:p>
    <w:p w:rsidR="000654A2" w:rsidRPr="000654A2" w:rsidRDefault="000654A2" w:rsidP="000654A2">
      <w:pPr>
        <w:pStyle w:val="Body"/>
      </w:pPr>
      <w:r w:rsidRPr="000654A2">
        <w:lastRenderedPageBreak/>
        <w:t>Detailed demographic and clinical information was collected through structured interviews, medical record review, and neurological examination. Variables recorded included age, sex, years of education, vascular comorbidities, smoking status, prior stroke or transient ischemic attack history, stroke subtype, and stroke territory involvement. Stroke severity was assessed using the National Institutes of Health Stroke Scale (NIHSS), a validated instrument widely used for quantifying neurological impairment following stroke (15). Stroke severity was categorized as mild, moderate, or severe according to established NIHSS thresholds. Cognitive function was evaluated using a standardized neurocognitive assessment tool administered by trained healthcare personnel under supervised clinical conditions. Cognitive impairment severity was categorized into mild, moderate, and severe groups according to predefined cutoff scores derived from validated assessment criteria. Functional and clinical outcomes were evaluated through follow-up clinical assessment and review of rehabilitation progress, functional independence, and quality-of-life measures.</w:t>
      </w:r>
      <w:bookmarkStart w:id="0" w:name="_GoBack"/>
      <w:bookmarkEnd w:id="0"/>
    </w:p>
    <w:p w:rsidR="000654A2" w:rsidRPr="000654A2" w:rsidRDefault="000654A2" w:rsidP="000654A2">
      <w:pPr>
        <w:pStyle w:val="Body"/>
      </w:pPr>
      <w:r w:rsidRPr="000654A2">
        <w:t>The primary study outcome was post-stroke cognitive impairment, defined as impairment in one or more cognitive domains identified during formal neurocognitive assessment after stroke. Secondary outcomes included poor clinical outcome, persistence of cognitive impairment during follow-up, improvement in cognitive status, reduced quality-of-life scores, and the number of affected cognitive domains. Poor clinical outcome was operationally defined on the basis of impaired functional recovery and persistent neurological or cognitive disability identified during follow-up assessment. Quality-of-life scores were evaluated using a standardized numeric scale ranging from 0 to 10, with lower scores indicating worse perceived health status and functional wellbeing. Operational definitions for vascular risk factors including diabetes mellitus, hypertension, dyslipidemia, and smoking status were established according to documented clinical diagnoses and ongoing medical treatment records.</w:t>
      </w:r>
    </w:p>
    <w:p w:rsidR="000654A2" w:rsidRPr="000654A2" w:rsidRDefault="000654A2" w:rsidP="000654A2">
      <w:pPr>
        <w:pStyle w:val="Body"/>
      </w:pPr>
      <w:r w:rsidRPr="000654A2">
        <w:t xml:space="preserve">Several measures were implemented to minimize bias and improve data integrity. Consecutive patient recruitment reduced selective enrollment bias, while standardized assessment procedures minimized </w:t>
      </w:r>
      <w:proofErr w:type="spellStart"/>
      <w:r w:rsidRPr="000654A2">
        <w:t>interobserver</w:t>
      </w:r>
      <w:proofErr w:type="spellEnd"/>
      <w:r w:rsidRPr="000654A2">
        <w:t xml:space="preserve"> variability. Data collection instruments were pre-structured to ensure uniformity and completeness of recorded variables. All clinical assessments were performed by trained investigators using standardized neurological and cognitive evaluation protocols. Potential confounding variables including age, education level, vascular comorbidities, and stroke severity were incorporated into inferential statistical analyses to evaluate their independent associations with clinical outcomes. Data were reviewed for completeness and consistency prior to statistical analysis, and double-entry verification methods were used to reduce transcription errors and enhance reproducibility.</w:t>
      </w:r>
    </w:p>
    <w:p w:rsidR="000654A2" w:rsidRPr="000654A2" w:rsidRDefault="000654A2" w:rsidP="000654A2">
      <w:pPr>
        <w:pStyle w:val="Body"/>
      </w:pPr>
      <w:r w:rsidRPr="000654A2">
        <w:t>Sample size adequacy was determined based on the anticipated prevalence of post-stroke cognitive impairment reported in previous literature and the feasibility of patient recruitment within the study duration. A total of 68 patients fulfilling eligibility criteria were included in the final analysis. Statistical analysis was performed using Statistical Package for the Social Sciences (SPSS) version 26.0 (IBM Corp., Armonk, NY, USA). Continuous variables were summarized as mean ± standard deviation or median with interquartile range depending on distribution normality, while categorical variables were expressed as frequencies and percentages. Normality assessment was conducted using the Shapiro-</w:t>
      </w:r>
      <w:proofErr w:type="spellStart"/>
      <w:r w:rsidRPr="000654A2">
        <w:t>Wilk</w:t>
      </w:r>
      <w:proofErr w:type="spellEnd"/>
      <w:r w:rsidRPr="000654A2">
        <w:t xml:space="preserve"> test and graphical inspection methods. Associations between categorical variables were assessed using the chi-square test or Fisher’s exact test where appropriate, while independent t-tests or Mann-Whitney U tests were applied for continuous variables. Logistic regression analysis was performed to identify predictors of poor clinical outcomes, and results were reported as odds ratios (ORs) or relative risks (RRs) with corresponding 95% confidence intervals (CIs). Variables demonstrating clinical relevance or statistical significance in </w:t>
      </w:r>
      <w:proofErr w:type="spellStart"/>
      <w:r w:rsidRPr="000654A2">
        <w:t>univariate</w:t>
      </w:r>
      <w:proofErr w:type="spellEnd"/>
      <w:r w:rsidRPr="000654A2">
        <w:t xml:space="preserve"> analysis were included in multivariable regression models to adjust for potential confounding. A two-tailed p-value of less than 0.05 was considered statistically significant. Missing data were assessed prior to analysis, and only complete observations were included in inferential analyses to maintain statistical validity and reproducibility.</w:t>
      </w:r>
    </w:p>
    <w:p w:rsidR="000654A2" w:rsidRPr="000654A2" w:rsidRDefault="000654A2" w:rsidP="002874F8">
      <w:pPr>
        <w:pStyle w:val="Heading1"/>
      </w:pPr>
      <w:r w:rsidRPr="000654A2">
        <w:t>Results</w:t>
      </w:r>
    </w:p>
    <w:p w:rsidR="000654A2" w:rsidRPr="000654A2" w:rsidRDefault="000654A2" w:rsidP="000654A2">
      <w:pPr>
        <w:pStyle w:val="Body"/>
      </w:pPr>
      <w:r w:rsidRPr="000654A2">
        <w:t xml:space="preserve">A total of 68 post-stroke patients were included in the final analysis. The mean age of the study population was 67.8 ± 12.6 years, and 28 participants (41.2%) were female. The mean duration of education was 12.8 ± 2.9 years. Median NIHSS score at assessment was 2.0 (IQR: 1.0–5.0). Mild stroke severity was observed in 45 patients (66.2%), while 18 patients (26.5%) had moderate stroke severity and 5 patients (7.4%) had severe stroke. Carotid-territory involvement was present in 51 patients (75.0%). Detailed baseline demographic and clinical characteristics are presented in Table 1. </w:t>
      </w:r>
    </w:p>
    <w:p w:rsidR="000654A2" w:rsidRPr="000654A2" w:rsidRDefault="000654A2" w:rsidP="002874F8">
      <w:pPr>
        <w:pStyle w:val="Caption"/>
      </w:pPr>
      <w:r w:rsidRPr="000654A2">
        <w:t>Table 1. Baseline Demographic and Clinical Characteristics of the Study Population (n = 68)</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987"/>
        <w:gridCol w:w="413"/>
        <w:gridCol w:w="4627"/>
      </w:tblGrid>
      <w:tr w:rsidR="000654A2" w:rsidRPr="002874F8" w:rsidTr="002874F8">
        <w:trPr>
          <w:tblHeader/>
          <w:tblCellSpacing w:w="0" w:type="dxa"/>
        </w:trPr>
        <w:tc>
          <w:tcPr>
            <w:tcW w:w="2208"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lastRenderedPageBreak/>
              <w:t>Variable</w:t>
            </w:r>
          </w:p>
        </w:tc>
        <w:tc>
          <w:tcPr>
            <w:tcW w:w="229"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n</w:t>
            </w:r>
          </w:p>
        </w:tc>
        <w:tc>
          <w:tcPr>
            <w:tcW w:w="2563"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 / Mean ± SD / Median (IQR)</w:t>
            </w:r>
          </w:p>
        </w:tc>
      </w:tr>
      <w:tr w:rsidR="002874F8" w:rsidRPr="002874F8" w:rsidTr="002874F8">
        <w:trPr>
          <w:tblCellSpacing w:w="0" w:type="dxa"/>
        </w:trPr>
        <w:tc>
          <w:tcPr>
            <w:tcW w:w="2208"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Age, years</w:t>
            </w:r>
          </w:p>
        </w:tc>
        <w:tc>
          <w:tcPr>
            <w:tcW w:w="22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68</w:t>
            </w:r>
          </w:p>
        </w:tc>
        <w:tc>
          <w:tcPr>
            <w:tcW w:w="2563"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67.8 ± 12.6</w:t>
            </w:r>
          </w:p>
        </w:tc>
      </w:tr>
      <w:tr w:rsidR="002874F8" w:rsidRPr="002874F8" w:rsidTr="002874F8">
        <w:trPr>
          <w:tblCellSpacing w:w="0" w:type="dxa"/>
        </w:trPr>
        <w:tc>
          <w:tcPr>
            <w:tcW w:w="2208"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Female sex</w:t>
            </w:r>
          </w:p>
        </w:tc>
        <w:tc>
          <w:tcPr>
            <w:tcW w:w="22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28</w:t>
            </w:r>
          </w:p>
        </w:tc>
        <w:tc>
          <w:tcPr>
            <w:tcW w:w="2563"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41.2%</w:t>
            </w:r>
          </w:p>
        </w:tc>
      </w:tr>
      <w:tr w:rsidR="002874F8" w:rsidRPr="002874F8" w:rsidTr="002874F8">
        <w:trPr>
          <w:tblCellSpacing w:w="0" w:type="dxa"/>
        </w:trPr>
        <w:tc>
          <w:tcPr>
            <w:tcW w:w="2208"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Years of education</w:t>
            </w:r>
          </w:p>
        </w:tc>
        <w:tc>
          <w:tcPr>
            <w:tcW w:w="22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68</w:t>
            </w:r>
          </w:p>
        </w:tc>
        <w:tc>
          <w:tcPr>
            <w:tcW w:w="2563"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12.8 ± 2.9</w:t>
            </w:r>
          </w:p>
        </w:tc>
      </w:tr>
      <w:tr w:rsidR="002874F8" w:rsidRPr="002874F8" w:rsidTr="002874F8">
        <w:trPr>
          <w:tblCellSpacing w:w="0" w:type="dxa"/>
        </w:trPr>
        <w:tc>
          <w:tcPr>
            <w:tcW w:w="2208"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NIHSS score at assessment</w:t>
            </w:r>
          </w:p>
        </w:tc>
        <w:tc>
          <w:tcPr>
            <w:tcW w:w="22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68</w:t>
            </w:r>
          </w:p>
        </w:tc>
        <w:tc>
          <w:tcPr>
            <w:tcW w:w="2563"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2.0 (1.0–5.0)</w:t>
            </w:r>
          </w:p>
        </w:tc>
      </w:tr>
      <w:tr w:rsidR="002874F8" w:rsidRPr="002874F8" w:rsidTr="002874F8">
        <w:trPr>
          <w:tblCellSpacing w:w="0" w:type="dxa"/>
        </w:trPr>
        <w:tc>
          <w:tcPr>
            <w:tcW w:w="2208"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Mild stroke severity</w:t>
            </w:r>
          </w:p>
        </w:tc>
        <w:tc>
          <w:tcPr>
            <w:tcW w:w="22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45</w:t>
            </w:r>
          </w:p>
        </w:tc>
        <w:tc>
          <w:tcPr>
            <w:tcW w:w="2563"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66.2%</w:t>
            </w:r>
          </w:p>
        </w:tc>
      </w:tr>
      <w:tr w:rsidR="002874F8" w:rsidRPr="002874F8" w:rsidTr="002874F8">
        <w:trPr>
          <w:tblCellSpacing w:w="0" w:type="dxa"/>
        </w:trPr>
        <w:tc>
          <w:tcPr>
            <w:tcW w:w="2208"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Moderate stroke severity</w:t>
            </w:r>
          </w:p>
        </w:tc>
        <w:tc>
          <w:tcPr>
            <w:tcW w:w="22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18</w:t>
            </w:r>
          </w:p>
        </w:tc>
        <w:tc>
          <w:tcPr>
            <w:tcW w:w="2563"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26.5%</w:t>
            </w:r>
          </w:p>
        </w:tc>
      </w:tr>
      <w:tr w:rsidR="002874F8" w:rsidRPr="002874F8" w:rsidTr="002874F8">
        <w:trPr>
          <w:tblCellSpacing w:w="0" w:type="dxa"/>
        </w:trPr>
        <w:tc>
          <w:tcPr>
            <w:tcW w:w="2208"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Severe stroke severity</w:t>
            </w:r>
          </w:p>
        </w:tc>
        <w:tc>
          <w:tcPr>
            <w:tcW w:w="22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5</w:t>
            </w:r>
          </w:p>
        </w:tc>
        <w:tc>
          <w:tcPr>
            <w:tcW w:w="2563"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7.4%</w:t>
            </w:r>
          </w:p>
        </w:tc>
      </w:tr>
      <w:tr w:rsidR="000654A2" w:rsidRPr="002874F8" w:rsidTr="002874F8">
        <w:trPr>
          <w:tblCellSpacing w:w="0" w:type="dxa"/>
        </w:trPr>
        <w:tc>
          <w:tcPr>
            <w:tcW w:w="2208"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Carotid-territory stroke</w:t>
            </w:r>
          </w:p>
        </w:tc>
        <w:tc>
          <w:tcPr>
            <w:tcW w:w="229"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51</w:t>
            </w:r>
          </w:p>
        </w:tc>
        <w:tc>
          <w:tcPr>
            <w:tcW w:w="2563"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75.0%</w:t>
            </w:r>
          </w:p>
        </w:tc>
      </w:tr>
    </w:tbl>
    <w:p w:rsidR="000654A2" w:rsidRPr="000654A2" w:rsidRDefault="000654A2" w:rsidP="000654A2">
      <w:pPr>
        <w:pStyle w:val="Body"/>
      </w:pPr>
      <w:r w:rsidRPr="000654A2">
        <w:t>Abbreviations: SD = Standard Deviation; IQR = Interquartile Range; NIHSS = National Institutes of Health Stroke Scale.</w:t>
      </w:r>
    </w:p>
    <w:p w:rsidR="000654A2" w:rsidRPr="000654A2" w:rsidRDefault="000654A2" w:rsidP="000654A2">
      <w:pPr>
        <w:pStyle w:val="Body"/>
      </w:pPr>
      <w:r w:rsidRPr="000654A2">
        <w:t xml:space="preserve">Post-stroke cognitive impairment was identified in 40 patients (58.8%), whereas 28 patients (41.2%) demonstrated no evidence of cognitive dysfunction. Among cognitively impaired patients, mild cognitive impairment was the most common category, affecting 24 individuals (35.3%), followed by moderate impairment in 11 patients (16.2%) and severe impairment in 5 patients (7.4%). Hypertension was the most prevalent vascular comorbidity and was observed in 45 patients (66.2%), followed by dyslipidemia in 31 patients (45.6%) and diabetes mellitus in 20 patients (29.4%). Twelve participants (17.6%) had a prior history of stroke or transient ischemic attack, while 15 patients (22.1%) were current smokers. These findings are summarized in Table 2. </w:t>
      </w:r>
    </w:p>
    <w:p w:rsidR="000654A2" w:rsidRPr="000654A2" w:rsidRDefault="000654A2" w:rsidP="002874F8">
      <w:pPr>
        <w:pStyle w:val="Caption"/>
      </w:pPr>
      <w:r w:rsidRPr="000654A2">
        <w:t>Table 2. Clinical Comorbidities and Study Variables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7008"/>
        <w:gridCol w:w="598"/>
        <w:gridCol w:w="1421"/>
      </w:tblGrid>
      <w:tr w:rsidR="000654A2" w:rsidRPr="002874F8" w:rsidTr="002874F8">
        <w:trPr>
          <w:tblHeader/>
          <w:tblCellSpacing w:w="0" w:type="dxa"/>
        </w:trPr>
        <w:tc>
          <w:tcPr>
            <w:tcW w:w="3882"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Variable</w:t>
            </w:r>
          </w:p>
        </w:tc>
        <w:tc>
          <w:tcPr>
            <w:tcW w:w="331"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n</w:t>
            </w:r>
          </w:p>
        </w:tc>
        <w:tc>
          <w:tcPr>
            <w:tcW w:w="787"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w:t>
            </w:r>
          </w:p>
        </w:tc>
      </w:tr>
      <w:tr w:rsidR="002874F8" w:rsidRPr="002874F8" w:rsidTr="002874F8">
        <w:trPr>
          <w:tblCellSpacing w:w="0" w:type="dxa"/>
        </w:trPr>
        <w:tc>
          <w:tcPr>
            <w:tcW w:w="3882"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Post-stroke cognitive impairment</w:t>
            </w:r>
          </w:p>
        </w:tc>
        <w:tc>
          <w:tcPr>
            <w:tcW w:w="331"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40</w:t>
            </w:r>
          </w:p>
        </w:tc>
        <w:tc>
          <w:tcPr>
            <w:tcW w:w="787"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58.8%</w:t>
            </w:r>
          </w:p>
        </w:tc>
      </w:tr>
      <w:tr w:rsidR="002874F8" w:rsidRPr="002874F8" w:rsidTr="002874F8">
        <w:trPr>
          <w:tblCellSpacing w:w="0" w:type="dxa"/>
        </w:trPr>
        <w:tc>
          <w:tcPr>
            <w:tcW w:w="3882"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No cognitive impairment</w:t>
            </w:r>
          </w:p>
        </w:tc>
        <w:tc>
          <w:tcPr>
            <w:tcW w:w="331"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28</w:t>
            </w:r>
          </w:p>
        </w:tc>
        <w:tc>
          <w:tcPr>
            <w:tcW w:w="787"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41.2%</w:t>
            </w:r>
          </w:p>
        </w:tc>
      </w:tr>
      <w:tr w:rsidR="002874F8" w:rsidRPr="002874F8" w:rsidTr="002874F8">
        <w:trPr>
          <w:tblCellSpacing w:w="0" w:type="dxa"/>
        </w:trPr>
        <w:tc>
          <w:tcPr>
            <w:tcW w:w="3882"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Mild cognitive impairment</w:t>
            </w:r>
          </w:p>
        </w:tc>
        <w:tc>
          <w:tcPr>
            <w:tcW w:w="331"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24</w:t>
            </w:r>
          </w:p>
        </w:tc>
        <w:tc>
          <w:tcPr>
            <w:tcW w:w="787"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35.3%</w:t>
            </w:r>
          </w:p>
        </w:tc>
      </w:tr>
      <w:tr w:rsidR="002874F8" w:rsidRPr="002874F8" w:rsidTr="002874F8">
        <w:trPr>
          <w:tblCellSpacing w:w="0" w:type="dxa"/>
        </w:trPr>
        <w:tc>
          <w:tcPr>
            <w:tcW w:w="3882"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Moderate cognitive impairment</w:t>
            </w:r>
          </w:p>
        </w:tc>
        <w:tc>
          <w:tcPr>
            <w:tcW w:w="331"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11</w:t>
            </w:r>
          </w:p>
        </w:tc>
        <w:tc>
          <w:tcPr>
            <w:tcW w:w="787"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16.2%</w:t>
            </w:r>
          </w:p>
        </w:tc>
      </w:tr>
      <w:tr w:rsidR="002874F8" w:rsidRPr="002874F8" w:rsidTr="002874F8">
        <w:trPr>
          <w:tblCellSpacing w:w="0" w:type="dxa"/>
        </w:trPr>
        <w:tc>
          <w:tcPr>
            <w:tcW w:w="3882"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Severe cognitive impairment</w:t>
            </w:r>
          </w:p>
        </w:tc>
        <w:tc>
          <w:tcPr>
            <w:tcW w:w="331"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5</w:t>
            </w:r>
          </w:p>
        </w:tc>
        <w:tc>
          <w:tcPr>
            <w:tcW w:w="787"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7.4%</w:t>
            </w:r>
          </w:p>
        </w:tc>
      </w:tr>
      <w:tr w:rsidR="002874F8" w:rsidRPr="002874F8" w:rsidTr="002874F8">
        <w:trPr>
          <w:tblCellSpacing w:w="0" w:type="dxa"/>
        </w:trPr>
        <w:tc>
          <w:tcPr>
            <w:tcW w:w="3882"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Diabetes mellitus</w:t>
            </w:r>
          </w:p>
        </w:tc>
        <w:tc>
          <w:tcPr>
            <w:tcW w:w="331"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20</w:t>
            </w:r>
          </w:p>
        </w:tc>
        <w:tc>
          <w:tcPr>
            <w:tcW w:w="787"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29.4%</w:t>
            </w:r>
          </w:p>
        </w:tc>
      </w:tr>
      <w:tr w:rsidR="002874F8" w:rsidRPr="002874F8" w:rsidTr="002874F8">
        <w:trPr>
          <w:tblCellSpacing w:w="0" w:type="dxa"/>
        </w:trPr>
        <w:tc>
          <w:tcPr>
            <w:tcW w:w="3882"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Hypertension</w:t>
            </w:r>
          </w:p>
        </w:tc>
        <w:tc>
          <w:tcPr>
            <w:tcW w:w="331"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45</w:t>
            </w:r>
          </w:p>
        </w:tc>
        <w:tc>
          <w:tcPr>
            <w:tcW w:w="787"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66.2%</w:t>
            </w:r>
          </w:p>
        </w:tc>
      </w:tr>
      <w:tr w:rsidR="002874F8" w:rsidRPr="002874F8" w:rsidTr="002874F8">
        <w:trPr>
          <w:tblCellSpacing w:w="0" w:type="dxa"/>
        </w:trPr>
        <w:tc>
          <w:tcPr>
            <w:tcW w:w="3882"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Dyslipidemia</w:t>
            </w:r>
          </w:p>
        </w:tc>
        <w:tc>
          <w:tcPr>
            <w:tcW w:w="331"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31</w:t>
            </w:r>
          </w:p>
        </w:tc>
        <w:tc>
          <w:tcPr>
            <w:tcW w:w="787"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45.6%</w:t>
            </w:r>
          </w:p>
        </w:tc>
      </w:tr>
      <w:tr w:rsidR="002874F8" w:rsidRPr="002874F8" w:rsidTr="002874F8">
        <w:trPr>
          <w:tblCellSpacing w:w="0" w:type="dxa"/>
        </w:trPr>
        <w:tc>
          <w:tcPr>
            <w:tcW w:w="3882"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Prior stroke/TIA</w:t>
            </w:r>
          </w:p>
        </w:tc>
        <w:tc>
          <w:tcPr>
            <w:tcW w:w="331"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12</w:t>
            </w:r>
          </w:p>
        </w:tc>
        <w:tc>
          <w:tcPr>
            <w:tcW w:w="787"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17.6%</w:t>
            </w:r>
          </w:p>
        </w:tc>
      </w:tr>
      <w:tr w:rsidR="000654A2" w:rsidRPr="002874F8" w:rsidTr="002874F8">
        <w:trPr>
          <w:tblCellSpacing w:w="0" w:type="dxa"/>
        </w:trPr>
        <w:tc>
          <w:tcPr>
            <w:tcW w:w="3882"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Current smoker</w:t>
            </w:r>
          </w:p>
        </w:tc>
        <w:tc>
          <w:tcPr>
            <w:tcW w:w="331"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15</w:t>
            </w:r>
          </w:p>
        </w:tc>
        <w:tc>
          <w:tcPr>
            <w:tcW w:w="787"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22.1%</w:t>
            </w:r>
          </w:p>
        </w:tc>
      </w:tr>
    </w:tbl>
    <w:p w:rsidR="000654A2" w:rsidRPr="000654A2" w:rsidRDefault="000654A2" w:rsidP="000654A2">
      <w:pPr>
        <w:pStyle w:val="Body"/>
      </w:pPr>
      <w:r w:rsidRPr="000654A2">
        <w:t>Abbreviations: TIA = Transient Ischemic Attack.</w:t>
      </w:r>
    </w:p>
    <w:p w:rsidR="000654A2" w:rsidRPr="000654A2" w:rsidRDefault="000654A2" w:rsidP="000654A2">
      <w:pPr>
        <w:pStyle w:val="Body"/>
      </w:pPr>
      <w:r w:rsidRPr="000654A2">
        <w:t xml:space="preserve">Regarding clinical outcomes, 26 patients (38.2%) experienced poor clinical outcomes, whereas favorable outcomes were observed in 42 patients (61.8%). Persistent cognitive impairment at follow-up was noted in 35 participants (51.5%), while improvement in cognitive status was documented in 21 patients (30.9%). Reduced quality-of-life scores were observed in 29 patients (42.6%). The overall mean quality-of-life score on a 0–10 scale was 5.8 ± 1.9. Patients demonstrated involvement of an average of 2.1 ± 1.3 cognitive domains. Detailed outcome measures are presented in Table 3. </w:t>
      </w:r>
    </w:p>
    <w:p w:rsidR="000654A2" w:rsidRPr="000654A2" w:rsidRDefault="000654A2" w:rsidP="002874F8">
      <w:pPr>
        <w:pStyle w:val="Caption"/>
      </w:pPr>
      <w:r w:rsidRPr="000654A2">
        <w:t xml:space="preserve">Table 3. Clinical Outcomes </w:t>
      </w:r>
      <w:proofErr w:type="gramStart"/>
      <w:r w:rsidRPr="000654A2">
        <w:t>Among</w:t>
      </w:r>
      <w:proofErr w:type="gramEnd"/>
      <w:r w:rsidRPr="000654A2">
        <w:t xml:space="preserve"> Post-Stroke Patients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6373"/>
        <w:gridCol w:w="406"/>
        <w:gridCol w:w="2248"/>
      </w:tblGrid>
      <w:tr w:rsidR="000654A2" w:rsidRPr="002874F8" w:rsidTr="002874F8">
        <w:trPr>
          <w:tblHeader/>
          <w:tblCellSpacing w:w="0" w:type="dxa"/>
        </w:trPr>
        <w:tc>
          <w:tcPr>
            <w:tcW w:w="3530"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Outcome</w:t>
            </w:r>
          </w:p>
        </w:tc>
        <w:tc>
          <w:tcPr>
            <w:tcW w:w="225"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n</w:t>
            </w:r>
          </w:p>
        </w:tc>
        <w:tc>
          <w:tcPr>
            <w:tcW w:w="1245"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 / Mean ± SD</w:t>
            </w:r>
          </w:p>
        </w:tc>
      </w:tr>
      <w:tr w:rsidR="002874F8" w:rsidRPr="002874F8" w:rsidTr="002874F8">
        <w:trPr>
          <w:tblCellSpacing w:w="0" w:type="dxa"/>
        </w:trPr>
        <w:tc>
          <w:tcPr>
            <w:tcW w:w="3530"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Poor clinical outcome</w:t>
            </w:r>
          </w:p>
        </w:tc>
        <w:tc>
          <w:tcPr>
            <w:tcW w:w="22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26</w:t>
            </w:r>
          </w:p>
        </w:tc>
        <w:tc>
          <w:tcPr>
            <w:tcW w:w="124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38.2%</w:t>
            </w:r>
          </w:p>
        </w:tc>
      </w:tr>
      <w:tr w:rsidR="002874F8" w:rsidRPr="002874F8" w:rsidTr="002874F8">
        <w:trPr>
          <w:tblCellSpacing w:w="0" w:type="dxa"/>
        </w:trPr>
        <w:tc>
          <w:tcPr>
            <w:tcW w:w="3530"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Favorable clinical outcome</w:t>
            </w:r>
          </w:p>
        </w:tc>
        <w:tc>
          <w:tcPr>
            <w:tcW w:w="22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42</w:t>
            </w:r>
          </w:p>
        </w:tc>
        <w:tc>
          <w:tcPr>
            <w:tcW w:w="124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61.8%</w:t>
            </w:r>
          </w:p>
        </w:tc>
      </w:tr>
      <w:tr w:rsidR="002874F8" w:rsidRPr="002874F8" w:rsidTr="002874F8">
        <w:trPr>
          <w:tblCellSpacing w:w="0" w:type="dxa"/>
        </w:trPr>
        <w:tc>
          <w:tcPr>
            <w:tcW w:w="3530"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Persistent cognitive impairment at follow-up</w:t>
            </w:r>
          </w:p>
        </w:tc>
        <w:tc>
          <w:tcPr>
            <w:tcW w:w="22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35</w:t>
            </w:r>
          </w:p>
        </w:tc>
        <w:tc>
          <w:tcPr>
            <w:tcW w:w="124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51.5%</w:t>
            </w:r>
          </w:p>
        </w:tc>
      </w:tr>
      <w:tr w:rsidR="002874F8" w:rsidRPr="002874F8" w:rsidTr="002874F8">
        <w:trPr>
          <w:tblCellSpacing w:w="0" w:type="dxa"/>
        </w:trPr>
        <w:tc>
          <w:tcPr>
            <w:tcW w:w="3530"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Improvement in cognitive status</w:t>
            </w:r>
          </w:p>
        </w:tc>
        <w:tc>
          <w:tcPr>
            <w:tcW w:w="22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21</w:t>
            </w:r>
          </w:p>
        </w:tc>
        <w:tc>
          <w:tcPr>
            <w:tcW w:w="124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30.9%</w:t>
            </w:r>
          </w:p>
        </w:tc>
      </w:tr>
      <w:tr w:rsidR="002874F8" w:rsidRPr="002874F8" w:rsidTr="002874F8">
        <w:trPr>
          <w:tblCellSpacing w:w="0" w:type="dxa"/>
        </w:trPr>
        <w:tc>
          <w:tcPr>
            <w:tcW w:w="3530"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Reduced quality-of-life score</w:t>
            </w:r>
          </w:p>
        </w:tc>
        <w:tc>
          <w:tcPr>
            <w:tcW w:w="22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29</w:t>
            </w:r>
          </w:p>
        </w:tc>
        <w:tc>
          <w:tcPr>
            <w:tcW w:w="124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42.6%</w:t>
            </w:r>
          </w:p>
        </w:tc>
      </w:tr>
      <w:tr w:rsidR="002874F8" w:rsidRPr="002874F8" w:rsidTr="002874F8">
        <w:trPr>
          <w:tblCellSpacing w:w="0" w:type="dxa"/>
        </w:trPr>
        <w:tc>
          <w:tcPr>
            <w:tcW w:w="3530"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Quality-of-life score (0–10 scale)</w:t>
            </w:r>
          </w:p>
        </w:tc>
        <w:tc>
          <w:tcPr>
            <w:tcW w:w="22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68</w:t>
            </w:r>
          </w:p>
        </w:tc>
        <w:tc>
          <w:tcPr>
            <w:tcW w:w="124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5.8 ± 1.9</w:t>
            </w:r>
          </w:p>
        </w:tc>
      </w:tr>
      <w:tr w:rsidR="000654A2" w:rsidRPr="002874F8" w:rsidTr="002874F8">
        <w:trPr>
          <w:tblCellSpacing w:w="0" w:type="dxa"/>
        </w:trPr>
        <w:tc>
          <w:tcPr>
            <w:tcW w:w="3530"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Number of affected cognitive domains</w:t>
            </w:r>
          </w:p>
        </w:tc>
        <w:tc>
          <w:tcPr>
            <w:tcW w:w="225"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68</w:t>
            </w:r>
          </w:p>
        </w:tc>
        <w:tc>
          <w:tcPr>
            <w:tcW w:w="1245"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2.1 ± 1.3</w:t>
            </w:r>
          </w:p>
        </w:tc>
      </w:tr>
    </w:tbl>
    <w:p w:rsidR="000654A2" w:rsidRPr="000654A2" w:rsidRDefault="000654A2" w:rsidP="000654A2">
      <w:pPr>
        <w:pStyle w:val="Body"/>
      </w:pPr>
      <w:r w:rsidRPr="000654A2">
        <w:t>Abbreviations: SD = Standard Deviation.</w:t>
      </w:r>
    </w:p>
    <w:p w:rsidR="000654A2" w:rsidRPr="000654A2" w:rsidRDefault="000654A2" w:rsidP="000654A2">
      <w:pPr>
        <w:pStyle w:val="Body"/>
      </w:pPr>
      <w:r w:rsidRPr="000654A2">
        <w:t xml:space="preserve">Inferential analysis demonstrated several significant predictors of poor clinical outcome following stroke. Higher NIHSS scores were strongly associated with poor outcomes, with each one-point increase in NIHSS score increasing the odds of poor outcome by approximately 3.85-fold (OR: 3.85; 95% CI: 1.85–8.02; p&lt;0.001). Baseline cognitive impairment was associated with nearly double the risk of poor clinical outcome (RR: 1.96; 95% CI: 1.24–3.08; p=0.004). Lower educational attainment also demonstrated a significant association with adverse outcomes, as each additional year of education reduced the odds of poor outcome by approximately 48% (OR: 0.52; 95% CI: 0.34–0.79; p=0.002). Diabetes mellitus modestly increased the risk of poor outcome (RR: 1.34; 95% CI: 1.03–1.74; p=0.031), while older age demonstrated a weaker but statistically significant association (OR: 1.04; 95% CI: 1.00–1.08; p=0.047). Female sex was not significantly associated with poor clinical outcome (OR: 1.18; 95% CI: 0.48–2.92; p=0.718). Complete inferential findings are shown in Table 4. </w:t>
      </w:r>
    </w:p>
    <w:p w:rsidR="000654A2" w:rsidRPr="000654A2" w:rsidRDefault="000654A2" w:rsidP="002874F8">
      <w:pPr>
        <w:pStyle w:val="Caption"/>
      </w:pPr>
      <w:r w:rsidRPr="000654A2">
        <w:lastRenderedPageBreak/>
        <w:t>Table 4. Inferential Analysis of Predictors of Poor Clinical Outcome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491"/>
        <w:gridCol w:w="323"/>
        <w:gridCol w:w="3168"/>
        <w:gridCol w:w="1164"/>
        <w:gridCol w:w="881"/>
      </w:tblGrid>
      <w:tr w:rsidR="000654A2" w:rsidRPr="002874F8" w:rsidTr="002874F8">
        <w:trPr>
          <w:tblHeader/>
          <w:tblCellSpacing w:w="0" w:type="dxa"/>
        </w:trPr>
        <w:tc>
          <w:tcPr>
            <w:tcW w:w="1933"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Predictor</w:t>
            </w:r>
          </w:p>
        </w:tc>
        <w:tc>
          <w:tcPr>
            <w:tcW w:w="179"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n</w:t>
            </w:r>
          </w:p>
        </w:tc>
        <w:tc>
          <w:tcPr>
            <w:tcW w:w="1755"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Effect Measure</w:t>
            </w:r>
          </w:p>
        </w:tc>
        <w:tc>
          <w:tcPr>
            <w:tcW w:w="645"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95% CI</w:t>
            </w:r>
          </w:p>
        </w:tc>
        <w:tc>
          <w:tcPr>
            <w:tcW w:w="489" w:type="pct"/>
            <w:tcBorders>
              <w:top w:val="single" w:sz="4" w:space="0" w:color="auto"/>
              <w:bottom w:val="single" w:sz="4" w:space="0" w:color="000000"/>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p-value</w:t>
            </w:r>
          </w:p>
        </w:tc>
      </w:tr>
      <w:tr w:rsidR="000654A2" w:rsidRPr="002874F8" w:rsidTr="002874F8">
        <w:trPr>
          <w:tblCellSpacing w:w="0" w:type="dxa"/>
        </w:trPr>
        <w:tc>
          <w:tcPr>
            <w:tcW w:w="1933"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Lower education</w:t>
            </w:r>
          </w:p>
        </w:tc>
        <w:tc>
          <w:tcPr>
            <w:tcW w:w="17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68</w:t>
            </w:r>
          </w:p>
        </w:tc>
        <w:tc>
          <w:tcPr>
            <w:tcW w:w="175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OR 0.52 per additional year</w:t>
            </w:r>
          </w:p>
        </w:tc>
        <w:tc>
          <w:tcPr>
            <w:tcW w:w="64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0.34–0.79</w:t>
            </w:r>
          </w:p>
        </w:tc>
        <w:tc>
          <w:tcPr>
            <w:tcW w:w="48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0.002</w:t>
            </w:r>
          </w:p>
        </w:tc>
      </w:tr>
      <w:tr w:rsidR="000654A2" w:rsidRPr="002874F8" w:rsidTr="002874F8">
        <w:trPr>
          <w:tblCellSpacing w:w="0" w:type="dxa"/>
        </w:trPr>
        <w:tc>
          <w:tcPr>
            <w:tcW w:w="1933"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Higher NIHSS score</w:t>
            </w:r>
          </w:p>
        </w:tc>
        <w:tc>
          <w:tcPr>
            <w:tcW w:w="17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68</w:t>
            </w:r>
          </w:p>
        </w:tc>
        <w:tc>
          <w:tcPr>
            <w:tcW w:w="175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OR 3.85 per point increase</w:t>
            </w:r>
          </w:p>
        </w:tc>
        <w:tc>
          <w:tcPr>
            <w:tcW w:w="64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1.85–8.02</w:t>
            </w:r>
          </w:p>
        </w:tc>
        <w:tc>
          <w:tcPr>
            <w:tcW w:w="48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&lt;0.001</w:t>
            </w:r>
          </w:p>
        </w:tc>
      </w:tr>
      <w:tr w:rsidR="000654A2" w:rsidRPr="002874F8" w:rsidTr="002874F8">
        <w:trPr>
          <w:tblCellSpacing w:w="0" w:type="dxa"/>
        </w:trPr>
        <w:tc>
          <w:tcPr>
            <w:tcW w:w="1933"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Baseline cognitive impairment</w:t>
            </w:r>
          </w:p>
        </w:tc>
        <w:tc>
          <w:tcPr>
            <w:tcW w:w="17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40</w:t>
            </w:r>
          </w:p>
        </w:tc>
        <w:tc>
          <w:tcPr>
            <w:tcW w:w="175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RR 1.96</w:t>
            </w:r>
          </w:p>
        </w:tc>
        <w:tc>
          <w:tcPr>
            <w:tcW w:w="64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1.24–3.08</w:t>
            </w:r>
          </w:p>
        </w:tc>
        <w:tc>
          <w:tcPr>
            <w:tcW w:w="48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0.004</w:t>
            </w:r>
          </w:p>
        </w:tc>
      </w:tr>
      <w:tr w:rsidR="000654A2" w:rsidRPr="002874F8" w:rsidTr="002874F8">
        <w:trPr>
          <w:tblCellSpacing w:w="0" w:type="dxa"/>
        </w:trPr>
        <w:tc>
          <w:tcPr>
            <w:tcW w:w="1933"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Diabetes mellitus</w:t>
            </w:r>
          </w:p>
        </w:tc>
        <w:tc>
          <w:tcPr>
            <w:tcW w:w="17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20</w:t>
            </w:r>
          </w:p>
        </w:tc>
        <w:tc>
          <w:tcPr>
            <w:tcW w:w="175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RR 1.34</w:t>
            </w:r>
          </w:p>
        </w:tc>
        <w:tc>
          <w:tcPr>
            <w:tcW w:w="64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1.03–1.74</w:t>
            </w:r>
          </w:p>
        </w:tc>
        <w:tc>
          <w:tcPr>
            <w:tcW w:w="48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0.031</w:t>
            </w:r>
          </w:p>
        </w:tc>
      </w:tr>
      <w:tr w:rsidR="000654A2" w:rsidRPr="002874F8" w:rsidTr="002874F8">
        <w:trPr>
          <w:tblCellSpacing w:w="0" w:type="dxa"/>
        </w:trPr>
        <w:tc>
          <w:tcPr>
            <w:tcW w:w="1933" w:type="pct"/>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Female sex</w:t>
            </w:r>
          </w:p>
        </w:tc>
        <w:tc>
          <w:tcPr>
            <w:tcW w:w="17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28</w:t>
            </w:r>
          </w:p>
        </w:tc>
        <w:tc>
          <w:tcPr>
            <w:tcW w:w="175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OR 1.18</w:t>
            </w:r>
          </w:p>
        </w:tc>
        <w:tc>
          <w:tcPr>
            <w:tcW w:w="645"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0.48–2.92</w:t>
            </w:r>
          </w:p>
        </w:tc>
        <w:tc>
          <w:tcPr>
            <w:tcW w:w="489" w:type="pct"/>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0.718</w:t>
            </w:r>
          </w:p>
        </w:tc>
      </w:tr>
      <w:tr w:rsidR="000654A2" w:rsidRPr="002874F8" w:rsidTr="002874F8">
        <w:trPr>
          <w:tblCellSpacing w:w="0" w:type="dxa"/>
        </w:trPr>
        <w:tc>
          <w:tcPr>
            <w:tcW w:w="1933"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b/>
                <w:color w:val="000000"/>
                <w:sz w:val="16"/>
              </w:rPr>
            </w:pPr>
            <w:r w:rsidRPr="002874F8">
              <w:rPr>
                <w:b/>
                <w:color w:val="000000"/>
                <w:sz w:val="16"/>
              </w:rPr>
              <w:t>Older age</w:t>
            </w:r>
          </w:p>
        </w:tc>
        <w:tc>
          <w:tcPr>
            <w:tcW w:w="179"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68</w:t>
            </w:r>
          </w:p>
        </w:tc>
        <w:tc>
          <w:tcPr>
            <w:tcW w:w="1755"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OR 1.04 per year</w:t>
            </w:r>
          </w:p>
        </w:tc>
        <w:tc>
          <w:tcPr>
            <w:tcW w:w="645"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1.00–1.08</w:t>
            </w:r>
          </w:p>
        </w:tc>
        <w:tc>
          <w:tcPr>
            <w:tcW w:w="489" w:type="pct"/>
            <w:tcBorders>
              <w:bottom w:val="single" w:sz="4" w:space="0" w:color="auto"/>
            </w:tcBorders>
            <w:shd w:val="clear" w:color="auto" w:fill="auto"/>
            <w:hideMark/>
          </w:tcPr>
          <w:p w:rsidR="000654A2" w:rsidRPr="002874F8" w:rsidRDefault="000654A2" w:rsidP="002874F8">
            <w:pPr>
              <w:pStyle w:val="Body"/>
              <w:spacing w:after="0" w:line="240" w:lineRule="auto"/>
              <w:jc w:val="left"/>
              <w:rPr>
                <w:color w:val="000000"/>
                <w:sz w:val="16"/>
              </w:rPr>
            </w:pPr>
            <w:r w:rsidRPr="002874F8">
              <w:rPr>
                <w:color w:val="000000"/>
                <w:sz w:val="16"/>
              </w:rPr>
              <w:t>0.047</w:t>
            </w:r>
          </w:p>
        </w:tc>
      </w:tr>
    </w:tbl>
    <w:p w:rsidR="000654A2" w:rsidRPr="000654A2" w:rsidRDefault="000654A2" w:rsidP="000654A2">
      <w:pPr>
        <w:pStyle w:val="Body"/>
      </w:pPr>
      <w:r w:rsidRPr="000654A2">
        <w:t>Abbreviations: OR = Odds Ratio; RR = Relative Risk; CI = Confidence Interval; NIHSS = National Institutes of Health Stroke Scale.</w:t>
      </w:r>
    </w:p>
    <w:p w:rsidR="000654A2" w:rsidRPr="000654A2" w:rsidRDefault="000654A2" w:rsidP="000654A2">
      <w:pPr>
        <w:pStyle w:val="Body"/>
      </w:pPr>
      <w:r w:rsidRPr="000654A2">
        <w:t>Overall, the findings demonstrated a high burden of post-stroke cognitive impairment in the studied tertiary care population, with cognitive dysfunction affecting more than half of stroke survivors. Greater neurological severity, lower educational status, diabetes mellitus, and older age were independently associated with poor clinical outcomes, highlighting the importance of early neurocognitive assessment and risk stratification in post-stroke management.</w:t>
      </w:r>
    </w:p>
    <w:p w:rsidR="000654A2" w:rsidRPr="000654A2" w:rsidRDefault="000654A2" w:rsidP="000654A2">
      <w:pPr>
        <w:pStyle w:val="Body"/>
      </w:pPr>
      <w:r w:rsidRPr="000654A2">
        <w:t xml:space="preserve">More than half of the enrolled stroke survivors demonstrated evidence of post-stroke cognitive impairment, with an overall prevalence of 58.8%. Mild cognitive impairment represented the most frequent subtype, affecting 35.3% of participants, whereas moderate and severe impairment were identified in 16.2% and 7.4% of patients, respectively. These findings indicate that cognitive dysfunction remains highly prevalent even among patients with predominantly mild neurological stroke severity, as 66.2% of the study population had mild NIHSS scores. The mean age of the cohort was 67.8 ± 12.6 years, highlighting the predominance of older adults among affected individuals. Female participants constituted 41.2% of the study population, while carotid-territory involvement was present in 75.0% of stroke cases, suggesting a predominance of anterior circulation cerebrovascular disease in the studied cohort. </w:t>
      </w:r>
    </w:p>
    <w:p w:rsidR="000654A2" w:rsidRPr="000654A2" w:rsidRDefault="000654A2" w:rsidP="000654A2">
      <w:pPr>
        <w:pStyle w:val="Body"/>
      </w:pPr>
      <w:r w:rsidRPr="000654A2">
        <w:t xml:space="preserve">Vascular comorbidities were highly prevalent among study participants and appeared to contribute substantially to adverse cognitive and clinical outcomes. Hypertension was the most common comorbidity, affecting 66.2% of patients, followed by dyslipidemia in 45.6% and diabetes mellitus in 29.4% of cases. Additionally, 17.6% of participants reported a prior history of stroke or transient ischemic attack, while current smoking was observed in 22.1% of patients. These findings support the strong association between chronic vascular risk factors and post-stroke neurocognitive dysfunction observed in previous cerebrovascular research. </w:t>
      </w:r>
    </w:p>
    <w:p w:rsidR="000654A2" w:rsidRPr="000654A2" w:rsidRDefault="000654A2" w:rsidP="000654A2">
      <w:pPr>
        <w:pStyle w:val="Body"/>
      </w:pPr>
      <w:r w:rsidRPr="000654A2">
        <w:t xml:space="preserve">Clinical outcome analysis demonstrated that 38.2% of stroke survivors experienced poor clinical outcomes, whereas favorable outcomes were observed in 61.8% of participants. Persistent cognitive impairment during follow-up was identified in 51.5% of patients, indicating that cognitive dysfunction frequently remained unresolved despite routine clinical management and rehabilitation measures. Conversely, improvement in cognitive status was documented in only 30.9% of patients, suggesting relatively limited cognitive recovery in a substantial proportion of stroke survivors. Reduced quality-of-life scores were observed in 42.6% of participants, while the mean quality-of-life score for the overall cohort was 5.8 ± 1.9 on a 10-point scale. Furthermore, patients demonstrated involvement of an average of 2.1 ± 1.3 cognitive domains, reflecting the multidimensional nature of post-stroke cognitive dysfunction. </w:t>
      </w:r>
    </w:p>
    <w:p w:rsidR="000654A2" w:rsidRPr="000654A2" w:rsidRDefault="000654A2" w:rsidP="000654A2">
      <w:pPr>
        <w:pStyle w:val="Body"/>
      </w:pPr>
      <w:r w:rsidRPr="000654A2">
        <w:t xml:space="preserve">Inferential statistical analysis identified several clinically significant predictors of poor post-stroke outcomes. Higher NIHSS scores demonstrated the strongest association with adverse outcomes, with each one-point increase in NIHSS score increasing the odds of poor clinical outcome by nearly fourfold (OR: 3.85; 95% CI: 1.85–8.02; p&lt;0.001). Baseline cognitive impairment was also strongly associated with unfavorable prognosis, increasing the risk of poor outcome by approximately 96% (RR: 1.96; 95% CI: 1.24–3.08; p=0.004). Educational status exhibited a protective effect, as each additional year of education reduced the odds of poor clinical outcome by approximately 48% (OR: 0.52; 95% CI: 0.34–0.79; p=0.002), supporting the concept of cognitive reserve in stroke recovery. Diabetes mellitus was associated with a modest but statistically significant increase in poor outcome risk (RR: 1.34; 95% CI: 1.03–1.74; p=0.031), while older age also demonstrated a weaker independent association with adverse outcomes (OR: 1.04; 95% CI: 1.00–1.08; p=0.047). In contrast, female sex was not significantly associated with poor clinical outcomes (OR: 1.18; 95% CI: 0.48–2.92; p=0.718). </w:t>
      </w:r>
    </w:p>
    <w:p w:rsidR="000654A2" w:rsidRPr="000654A2" w:rsidRDefault="000654A2" w:rsidP="000654A2">
      <w:pPr>
        <w:pStyle w:val="Body"/>
        <w:jc w:val="center"/>
      </w:pPr>
      <w:r>
        <w:rPr>
          <w:noProof/>
        </w:rPr>
        <w:lastRenderedPageBreak/>
        <w:drawing>
          <wp:inline distT="0" distB="0" distL="0" distR="0">
            <wp:extent cx="4572000" cy="27279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2, 2026, 12_28_23 PM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727904"/>
                    </a:xfrm>
                    <a:prstGeom prst="rect">
                      <a:avLst/>
                    </a:prstGeom>
                  </pic:spPr>
                </pic:pic>
              </a:graphicData>
            </a:graphic>
          </wp:inline>
        </w:drawing>
      </w:r>
    </w:p>
    <w:p w:rsidR="000654A2" w:rsidRPr="000654A2" w:rsidRDefault="000654A2" w:rsidP="000654A2">
      <w:pPr>
        <w:pStyle w:val="Body"/>
      </w:pPr>
    </w:p>
    <w:p w:rsidR="000654A2" w:rsidRPr="000654A2" w:rsidRDefault="000654A2" w:rsidP="000654A2">
      <w:pPr>
        <w:pStyle w:val="Body"/>
      </w:pPr>
      <w:r w:rsidRPr="000654A2">
        <w:t>Increasing Stroke Severity and Cognitive Impairment Burden Are Associated With Higher Rates of Poor Clinical Outcomes</w:t>
      </w:r>
    </w:p>
    <w:p w:rsidR="000654A2" w:rsidRPr="000654A2" w:rsidRDefault="000654A2" w:rsidP="002874F8">
      <w:pPr>
        <w:pStyle w:val="Caption"/>
      </w:pPr>
      <w:r w:rsidRPr="000654A2">
        <w:t>Figure Legend (Publication Style)</w:t>
      </w:r>
    </w:p>
    <w:p w:rsidR="000654A2" w:rsidRPr="000654A2" w:rsidRDefault="000654A2" w:rsidP="000654A2">
      <w:pPr>
        <w:pStyle w:val="Body"/>
      </w:pPr>
      <w:r w:rsidRPr="000654A2">
        <w:t xml:space="preserve">The figure demonstrates a progressive increase in poor clinical outcomes with worsening neurological severity and greater cognitive impairment burden among post-stroke patients. Patients with higher NIHSS scores and </w:t>
      </w:r>
      <w:proofErr w:type="spellStart"/>
      <w:r w:rsidRPr="000654A2">
        <w:t>multidomain</w:t>
      </w:r>
      <w:proofErr w:type="spellEnd"/>
      <w:r w:rsidRPr="000654A2">
        <w:t xml:space="preserve"> cognitive involvement exhibited substantially greater rates of persistent impairment and reduced quality-of-life measures. Severe cognitive impairment, although less frequent (7.4%), showed the greatest proportional association with adverse clinical outcomes, whereas mild impairment represented the largest contributor to the overall disease burden due to its higher prevalence (35.3%). Increasing numbers of affected cognitive domains correlated with worsening quality-of-life scores and persistent cognitive dysfunction during follow-up, supporting the clinical significance of comprehensive neurocognitive assessment after stroke. </w:t>
      </w:r>
    </w:p>
    <w:p w:rsidR="000654A2" w:rsidRPr="000654A2" w:rsidRDefault="000654A2" w:rsidP="000654A2">
      <w:pPr>
        <w:pStyle w:val="Body"/>
      </w:pPr>
    </w:p>
    <w:p w:rsidR="000654A2" w:rsidRPr="000654A2" w:rsidRDefault="000654A2" w:rsidP="000654A2">
      <w:pPr>
        <w:pStyle w:val="Body"/>
      </w:pPr>
      <w:r w:rsidRPr="000654A2">
        <w:br w:type="page"/>
      </w:r>
    </w:p>
    <w:p w:rsidR="000654A2" w:rsidRPr="000654A2" w:rsidRDefault="000654A2" w:rsidP="002874F8">
      <w:pPr>
        <w:pStyle w:val="Heading1"/>
      </w:pPr>
      <w:r w:rsidRPr="000654A2">
        <w:lastRenderedPageBreak/>
        <w:t>Discussion</w:t>
      </w:r>
    </w:p>
    <w:p w:rsidR="000654A2" w:rsidRPr="000654A2" w:rsidRDefault="000654A2" w:rsidP="000654A2">
      <w:pPr>
        <w:pStyle w:val="Body"/>
      </w:pPr>
      <w:r w:rsidRPr="000654A2">
        <w:t xml:space="preserve">Post-stroke cognitive impairment represents one of the most disabling and </w:t>
      </w:r>
      <w:proofErr w:type="spellStart"/>
      <w:r w:rsidRPr="000654A2">
        <w:t>underrecognized</w:t>
      </w:r>
      <w:proofErr w:type="spellEnd"/>
      <w:r w:rsidRPr="000654A2">
        <w:t xml:space="preserve"> neurological </w:t>
      </w:r>
      <w:proofErr w:type="spellStart"/>
      <w:r w:rsidRPr="000654A2">
        <w:t>sequelae</w:t>
      </w:r>
      <w:proofErr w:type="spellEnd"/>
      <w:r w:rsidRPr="000654A2">
        <w:t xml:space="preserve"> following cerebrovascular disease and remains a major determinant of long-term functional dependency, reduced rehabilitation efficacy, and impaired quality of life among stroke survivors (16). In the present study, more than half of the enrolled patients demonstrated evidence of post-stroke cognitive impairment, with an overall prevalence of 58.8%. These findings are consistent with recent international literature reporting that cognitive dysfunction affects a substantial proportion of stroke survivors despite improvements in acute stroke management and secondary prevention strategies (17</w:t>
      </w:r>
      <w:proofErr w:type="gramStart"/>
      <w:r w:rsidRPr="000654A2">
        <w:t>,18</w:t>
      </w:r>
      <w:proofErr w:type="gramEnd"/>
      <w:r w:rsidRPr="000654A2">
        <w:t>). The observed prevalence in the current study falls within the wide range reported globally, where estimates vary from approximately 20% to 70% depending on population characteristics, cognitive assessment methods, stroke subtype, and timing of evaluation (19). The high prevalence identified in this tertiary care Pakistani population highlights the significant neurocognitive burden associated with stroke and emphasizes the need for routine cognitive screening during post-stroke follow-up and rehabilitation planning.</w:t>
      </w:r>
    </w:p>
    <w:p w:rsidR="000654A2" w:rsidRPr="000654A2" w:rsidRDefault="000654A2" w:rsidP="000654A2">
      <w:pPr>
        <w:pStyle w:val="Body"/>
      </w:pPr>
      <w:r w:rsidRPr="000654A2">
        <w:t>Mild cognitive impairment constituted the most frequent category in the present cohort, affecting 35.3% of participants, whereas moderate and severe cognitive impairment were identified in 16.2% and 7.4% of patients, respectively. These findings suggest that subtle neurocognitive deficits may remain prevalent even among clinically stable stroke survivors and may be overlooked during routine neurological evaluation when emphasis is placed predominantly on motor recovery. Previous studies have similarly demonstrated that executive dysfunction, impaired attention, memory deficits, and reduced processing speed frequently persist after stroke even in patients with relatively preserved physical function (20</w:t>
      </w:r>
      <w:proofErr w:type="gramStart"/>
      <w:r w:rsidRPr="000654A2">
        <w:t>,21</w:t>
      </w:r>
      <w:proofErr w:type="gramEnd"/>
      <w:r w:rsidRPr="000654A2">
        <w:t xml:space="preserve">). The </w:t>
      </w:r>
      <w:proofErr w:type="spellStart"/>
      <w:r w:rsidRPr="000654A2">
        <w:t>multidomain</w:t>
      </w:r>
      <w:proofErr w:type="spellEnd"/>
      <w:r w:rsidRPr="000654A2">
        <w:t xml:space="preserve"> nature of cognitive dysfunction observed in this study, with an average involvement of 2.1 ± 1.3 cognitive domains, further supports the concept that post-stroke cognitive impairment is rarely confined to a single neuropsychological domain and instead reflects widespread disruption of cortical-subcortical neural networks.</w:t>
      </w:r>
    </w:p>
    <w:p w:rsidR="000654A2" w:rsidRPr="000654A2" w:rsidRDefault="000654A2" w:rsidP="000654A2">
      <w:pPr>
        <w:pStyle w:val="Body"/>
      </w:pPr>
      <w:r w:rsidRPr="000654A2">
        <w:t xml:space="preserve">An important finding of the present study was the strong association between greater neurological severity and adverse clinical outcomes. Higher NIHSS scores significantly increased the odds of poor clinical outcome, with each one-point increase in NIHSS score associated with nearly fourfold higher odds of unfavorable prognosis. This observation is biologically plausible because severe neurological injury may result in larger infarct burden, greater disruption of cerebral connectivity, and impaired </w:t>
      </w:r>
      <w:proofErr w:type="spellStart"/>
      <w:r w:rsidRPr="000654A2">
        <w:t>neuroplastic</w:t>
      </w:r>
      <w:proofErr w:type="spellEnd"/>
      <w:r w:rsidRPr="000654A2">
        <w:t xml:space="preserve"> recovery mechanisms (22). Previous multicenter investigations and pooled analyses have similarly identified stroke severity as one of the most powerful predictors of post-stroke cognitive decline and long-term disability (23</w:t>
      </w:r>
      <w:proofErr w:type="gramStart"/>
      <w:r w:rsidRPr="000654A2">
        <w:t>,24</w:t>
      </w:r>
      <w:proofErr w:type="gramEnd"/>
      <w:r w:rsidRPr="000654A2">
        <w:t>). The predominance of carotid-territory strokes in the present cohort may also partially explain the substantial cognitive burden observed, as anterior circulation infarcts frequently involve cortical regions associated with executive functioning, language, and memory processing.</w:t>
      </w:r>
    </w:p>
    <w:p w:rsidR="000654A2" w:rsidRPr="000654A2" w:rsidRDefault="000654A2" w:rsidP="000654A2">
      <w:pPr>
        <w:pStyle w:val="Body"/>
      </w:pPr>
      <w:r w:rsidRPr="000654A2">
        <w:t>Lower educational attainment emerged as another significant predictor of poor clinical outcome in the current study. Each additional year of education substantially reduced the likelihood of adverse outcomes, supporting the widely recognized cognitive reserve hypothesis. Individuals with greater educational exposure may possess enhanced neural adaptability and compensatory cognitive mechanisms that protect against the functional impact of vascular brain injury (25). Similar associations between lower educational status and increased susceptibility to post-stroke cognitive decline have been consistently reported in both Western and Asian populations (26). In developing countries such as Pakistan, educational disparities may further amplify the long-term functional consequences of stroke by limiting health literacy, delaying healthcare access, and reducing adherence to rehabilitation programs.</w:t>
      </w:r>
    </w:p>
    <w:p w:rsidR="000654A2" w:rsidRPr="000654A2" w:rsidRDefault="000654A2" w:rsidP="000654A2">
      <w:pPr>
        <w:pStyle w:val="Body"/>
      </w:pPr>
      <w:r w:rsidRPr="000654A2">
        <w:t xml:space="preserve">The present study additionally demonstrated a significant association between diabetes mellitus and poor clinical outcomes after stroke. Diabetes increased the risk of adverse outcomes by approximately 34%, which is consistent with prior evidence linking chronic hyperglycemia and </w:t>
      </w:r>
      <w:proofErr w:type="spellStart"/>
      <w:r w:rsidRPr="000654A2">
        <w:t>microvascular</w:t>
      </w:r>
      <w:proofErr w:type="spellEnd"/>
      <w:r w:rsidRPr="000654A2">
        <w:t xml:space="preserve"> dysfunction to accelerated cerebral small vessel disease, endothelial injury, and impaired neuronal recovery (27). Hypertension and dyslipidemia were also highly prevalent in the study population, affecting 66.2% and 45.6% of participants, respectively, highlighting the major contribution of vascular comorbidities to post-stroke cognitive dysfunction. These findings reinforce the importance of aggressive vascular risk factor modification as part of comprehensive stroke rehabilitation and secondary prevention strategies.</w:t>
      </w:r>
    </w:p>
    <w:p w:rsidR="000654A2" w:rsidRPr="000654A2" w:rsidRDefault="000654A2" w:rsidP="000654A2">
      <w:pPr>
        <w:pStyle w:val="Body"/>
      </w:pPr>
      <w:r w:rsidRPr="000654A2">
        <w:t xml:space="preserve">Older age was independently associated with poor clinical outcomes in this study, although the strength of association was relatively modest. Aging is known to contribute to </w:t>
      </w:r>
      <w:proofErr w:type="gramStart"/>
      <w:r w:rsidRPr="000654A2">
        <w:t>reduced</w:t>
      </w:r>
      <w:proofErr w:type="gramEnd"/>
      <w:r w:rsidRPr="000654A2">
        <w:t xml:space="preserve"> neuronal plasticity, progressive </w:t>
      </w:r>
      <w:r w:rsidRPr="000654A2">
        <w:lastRenderedPageBreak/>
        <w:t>cerebrovascular degeneration, and increased vulnerability to neurodegenerative processes, thereby predisposing elderly stroke survivors to persistent cognitive deficits (28). In contrast, female sex was not significantly associated with adverse outcomes in the current analysis. Previous studies examining sex-based differences in post-stroke cognition have produced inconsistent findings, suggesting that the influence of sex may be mediated by sociocultural, educational, and vascular risk factor variations across different populations (29).</w:t>
      </w:r>
    </w:p>
    <w:p w:rsidR="000654A2" w:rsidRPr="000654A2" w:rsidRDefault="000654A2" w:rsidP="000654A2">
      <w:pPr>
        <w:pStyle w:val="Body"/>
      </w:pPr>
      <w:r w:rsidRPr="000654A2">
        <w:t>Persistent cognitive impairment during follow-up was observed in more than half of the study population, while improvement in cognitive status occurred in less than one-third of patients. Furthermore, reduced quality-of-life scores were identified in 42.6% of participants. These findings emphasize the long-term disabling consequences of cognitive dysfunction after stroke and demonstrate that neurocognitive deficits substantially influence overall patient wellbeing beyond physical disability alone. Earlier meta-analyses have similarly shown that post-stroke cognitive impairment negatively affects social reintegration, treatment adherence, participation in rehabilitation, and independent daily functioning (30). Therefore, early identification of cognitive impairment may facilitate individualized rehabilitation planning, caregiver counseling, and targeted neuropsychological interventions aimed at improving long-term functional outcomes.</w:t>
      </w:r>
    </w:p>
    <w:p w:rsidR="000654A2" w:rsidRPr="000654A2" w:rsidRDefault="000654A2" w:rsidP="000654A2">
      <w:pPr>
        <w:pStyle w:val="Body"/>
      </w:pPr>
      <w:r w:rsidRPr="000654A2">
        <w:t>The present study possesses several important clinical strengths, including evaluation of multiple vascular and demographic predictors, incorporation of inferential statistical analyses, and assessment of both cognitive and functional outcomes in a real-world tertiary care setting. Nevertheless, certain limitations should be acknowledged. The single-center cross-sectional design may limit generalizability to broader populations and precludes establishment of causal relationships between predictors and outcomes. The relatively modest sample size may have reduced statistical precision for certain subgroup analyses, particularly among patients with severe stroke. Additionally, the absence of long-term longitudinal follow-up restricted assessment of cognitive trajectory over extended periods. Potential residual confounding from unmeasured variables such as infarct volume, depression, socioeconomic status, and rehabilitation intensity may also have influenced study findings. Despite these limitations, the study provides important regional evidence regarding the burden and determinants of post-stroke cognitive impairment in a Pakistani tertiary care population.</w:t>
      </w:r>
    </w:p>
    <w:p w:rsidR="000654A2" w:rsidRPr="000654A2" w:rsidRDefault="000654A2" w:rsidP="000654A2">
      <w:pPr>
        <w:pStyle w:val="Body"/>
      </w:pPr>
      <w:r w:rsidRPr="000654A2">
        <w:t>Overall, the findings of the present study underscore the substantial prevalence and clinical significance of post-stroke cognitive impairment among stroke survivors in Pakistan. Early neurocognitive assessment, aggressive vascular risk factor management, and integration of cognitive rehabilitation into standard stroke care protocols may improve long-term neurological and functional outcomes in this vulnerable population.</w:t>
      </w:r>
    </w:p>
    <w:p w:rsidR="000654A2" w:rsidRPr="000654A2" w:rsidRDefault="000654A2" w:rsidP="002874F8">
      <w:pPr>
        <w:pStyle w:val="Heading1"/>
      </w:pPr>
      <w:r w:rsidRPr="000654A2">
        <w:t>Conclusion</w:t>
      </w:r>
    </w:p>
    <w:p w:rsidR="000654A2" w:rsidRPr="000654A2" w:rsidRDefault="000654A2" w:rsidP="000654A2">
      <w:pPr>
        <w:pStyle w:val="Body"/>
      </w:pPr>
      <w:r w:rsidRPr="000654A2">
        <w:t>In conclusion, post-stroke cognitive impairment was highly prevalent among stroke survivors presenting to a tertiary care hospital in Pakistan and was significantly associated with adverse clinical outcomes. Greater neurological severity, lower educational status, diabetes mellitus, and older age emerged as important predictors of poor prognosis following stroke. Persistent cognitive dysfunction and reduced quality-of-life scores were observed in a substantial proportion of patients, emphasizing the long-term neuropsychological burden associated with cerebrovascular disease. These findings highlight the importance of incorporating routine cognitive assessment, early risk stratification, and multidisciplinary rehabilitation strategies into standard post-stroke care to improve functional recovery and long-term patient outcomes. Further large-scale longitudinal studies are warranted to better characterize the progression of cognitive impairment and evaluate targeted interventions for optimizing neurocognitive recovery among stroke survivors in resource-limited healthcare settings.</w:t>
      </w:r>
    </w:p>
    <w:p w:rsidR="000654A2" w:rsidRPr="000654A2" w:rsidRDefault="002874F8" w:rsidP="002874F8">
      <w:pPr>
        <w:pStyle w:val="Heading1"/>
      </w:pPr>
      <w:r>
        <w:t xml:space="preserve">References </w:t>
      </w:r>
    </w:p>
    <w:p w:rsidR="000654A2" w:rsidRPr="000654A2" w:rsidRDefault="000654A2" w:rsidP="002874F8">
      <w:pPr>
        <w:pStyle w:val="Body"/>
        <w:numPr>
          <w:ilvl w:val="0"/>
          <w:numId w:val="18"/>
        </w:numPr>
      </w:pPr>
      <w:r w:rsidRPr="000654A2">
        <w:t xml:space="preserve">Clarke S. Identifying patterns of cognitive deficits: the path to better outcomes after stroke. J </w:t>
      </w:r>
      <w:proofErr w:type="spellStart"/>
      <w:r w:rsidRPr="000654A2">
        <w:t>Neurol</w:t>
      </w:r>
      <w:proofErr w:type="spellEnd"/>
      <w:r w:rsidRPr="000654A2">
        <w:t xml:space="preserve"> </w:t>
      </w:r>
      <w:proofErr w:type="spellStart"/>
      <w:r w:rsidRPr="000654A2">
        <w:t>Neurosurg</w:t>
      </w:r>
      <w:proofErr w:type="spellEnd"/>
      <w:r w:rsidRPr="000654A2">
        <w:t xml:space="preserve"> Psychiatry. 2020</w:t>
      </w:r>
      <w:proofErr w:type="gramStart"/>
      <w:r w:rsidRPr="000654A2">
        <w:t>;91</w:t>
      </w:r>
      <w:proofErr w:type="gramEnd"/>
      <w:r w:rsidRPr="000654A2">
        <w:t xml:space="preserve">(10):1033-1034. doi:10.1136/jnnp-2019-322429 </w:t>
      </w:r>
    </w:p>
    <w:p w:rsidR="000654A2" w:rsidRPr="000654A2" w:rsidRDefault="000654A2" w:rsidP="002874F8">
      <w:pPr>
        <w:pStyle w:val="Body"/>
        <w:numPr>
          <w:ilvl w:val="0"/>
          <w:numId w:val="18"/>
        </w:numPr>
      </w:pPr>
      <w:r w:rsidRPr="000654A2">
        <w:t xml:space="preserve">D'Souza CE, Greenway MRF, Graff-Radford J, </w:t>
      </w:r>
      <w:proofErr w:type="spellStart"/>
      <w:r w:rsidRPr="000654A2">
        <w:t>Meschia</w:t>
      </w:r>
      <w:proofErr w:type="spellEnd"/>
      <w:r w:rsidRPr="000654A2">
        <w:t xml:space="preserve"> JF. Cognitive impairment in patients with stroke. </w:t>
      </w:r>
      <w:proofErr w:type="spellStart"/>
      <w:r w:rsidRPr="000654A2">
        <w:t>Semin</w:t>
      </w:r>
      <w:proofErr w:type="spellEnd"/>
      <w:r w:rsidRPr="000654A2">
        <w:t xml:space="preserve"> Neurol. 2021</w:t>
      </w:r>
      <w:proofErr w:type="gramStart"/>
      <w:r w:rsidRPr="000654A2">
        <w:t>;41</w:t>
      </w:r>
      <w:proofErr w:type="gramEnd"/>
      <w:r w:rsidRPr="000654A2">
        <w:t xml:space="preserve">(1):75-84. doi:10.1055/s-0040-1722217 </w:t>
      </w:r>
    </w:p>
    <w:p w:rsidR="000654A2" w:rsidRPr="000654A2" w:rsidRDefault="000654A2" w:rsidP="002874F8">
      <w:pPr>
        <w:pStyle w:val="Body"/>
        <w:numPr>
          <w:ilvl w:val="0"/>
          <w:numId w:val="18"/>
        </w:numPr>
      </w:pPr>
      <w:r w:rsidRPr="000654A2">
        <w:t>Cramer SC, Richards LG, Bernhardt J, Duncan PW. Cognitive deficits after stroke. Stroke. 2023</w:t>
      </w:r>
      <w:proofErr w:type="gramStart"/>
      <w:r w:rsidRPr="000654A2">
        <w:t>;54</w:t>
      </w:r>
      <w:proofErr w:type="gramEnd"/>
      <w:r w:rsidRPr="000654A2">
        <w:t xml:space="preserve">(1):5-9. doi:10.1161/STROKEAHA.122.041775 </w:t>
      </w:r>
    </w:p>
    <w:p w:rsidR="000654A2" w:rsidRPr="000654A2" w:rsidRDefault="000654A2" w:rsidP="002874F8">
      <w:pPr>
        <w:pStyle w:val="Body"/>
        <w:numPr>
          <w:ilvl w:val="0"/>
          <w:numId w:val="18"/>
        </w:numPr>
      </w:pPr>
      <w:proofErr w:type="spellStart"/>
      <w:r w:rsidRPr="000654A2">
        <w:lastRenderedPageBreak/>
        <w:t>Elendu</w:t>
      </w:r>
      <w:proofErr w:type="spellEnd"/>
      <w:r w:rsidRPr="000654A2">
        <w:t xml:space="preserve"> C, </w:t>
      </w:r>
      <w:proofErr w:type="spellStart"/>
      <w:r w:rsidRPr="000654A2">
        <w:t>Amaechi</w:t>
      </w:r>
      <w:proofErr w:type="spellEnd"/>
      <w:r w:rsidRPr="000654A2">
        <w:t xml:space="preserve"> DC, </w:t>
      </w:r>
      <w:proofErr w:type="spellStart"/>
      <w:r w:rsidRPr="000654A2">
        <w:t>Elendu</w:t>
      </w:r>
      <w:proofErr w:type="spellEnd"/>
      <w:r w:rsidRPr="000654A2">
        <w:t xml:space="preserve"> TC, </w:t>
      </w:r>
      <w:proofErr w:type="spellStart"/>
      <w:r w:rsidRPr="000654A2">
        <w:t>Ibhiedu</w:t>
      </w:r>
      <w:proofErr w:type="spellEnd"/>
      <w:r w:rsidRPr="000654A2">
        <w:t xml:space="preserve"> JO, </w:t>
      </w:r>
      <w:proofErr w:type="spellStart"/>
      <w:r w:rsidRPr="000654A2">
        <w:t>Egbunu</w:t>
      </w:r>
      <w:proofErr w:type="spellEnd"/>
      <w:r w:rsidRPr="000654A2">
        <w:t xml:space="preserve"> EO, </w:t>
      </w:r>
      <w:proofErr w:type="spellStart"/>
      <w:r w:rsidRPr="000654A2">
        <w:t>Ndam</w:t>
      </w:r>
      <w:proofErr w:type="spellEnd"/>
      <w:r w:rsidRPr="000654A2">
        <w:t xml:space="preserve"> AR, et al. Stroke and cognitive impairment: understanding the connection and managing symptoms. Ann Med Surg. 2023</w:t>
      </w:r>
      <w:proofErr w:type="gramStart"/>
      <w:r w:rsidRPr="000654A2">
        <w:t>;85:104</w:t>
      </w:r>
      <w:proofErr w:type="gramEnd"/>
      <w:r w:rsidRPr="000654A2">
        <w:t xml:space="preserve">-111. doi:10.1097/MS9.0000000000001441 </w:t>
      </w:r>
    </w:p>
    <w:p w:rsidR="000654A2" w:rsidRPr="000654A2" w:rsidRDefault="000654A2" w:rsidP="002874F8">
      <w:pPr>
        <w:pStyle w:val="Body"/>
        <w:numPr>
          <w:ilvl w:val="0"/>
          <w:numId w:val="18"/>
        </w:numPr>
      </w:pPr>
      <w:r w:rsidRPr="000654A2">
        <w:t xml:space="preserve">Lim JS, Lee JJ, Woo CW. Post-stroke cognitive impairment: pathophysiological insights into brain </w:t>
      </w:r>
      <w:proofErr w:type="spellStart"/>
      <w:r w:rsidRPr="000654A2">
        <w:t>disconnectome</w:t>
      </w:r>
      <w:proofErr w:type="spellEnd"/>
      <w:r w:rsidRPr="000654A2">
        <w:t xml:space="preserve"> from advanced neuroimaging analysis techniques. J Stroke. 2021</w:t>
      </w:r>
      <w:proofErr w:type="gramStart"/>
      <w:r w:rsidRPr="000654A2">
        <w:t>;23</w:t>
      </w:r>
      <w:proofErr w:type="gramEnd"/>
      <w:r w:rsidRPr="000654A2">
        <w:t xml:space="preserve">(3):297-311. doi:10.5853/jos.2021.02376 </w:t>
      </w:r>
    </w:p>
    <w:p w:rsidR="000654A2" w:rsidRPr="000654A2" w:rsidRDefault="000654A2" w:rsidP="002874F8">
      <w:pPr>
        <w:pStyle w:val="Body"/>
        <w:numPr>
          <w:ilvl w:val="0"/>
          <w:numId w:val="18"/>
        </w:numPr>
      </w:pPr>
      <w:r w:rsidRPr="000654A2">
        <w:t xml:space="preserve">Filler J, </w:t>
      </w:r>
      <w:proofErr w:type="spellStart"/>
      <w:r w:rsidRPr="000654A2">
        <w:t>Georgakis</w:t>
      </w:r>
      <w:proofErr w:type="spellEnd"/>
      <w:r w:rsidRPr="000654A2">
        <w:t xml:space="preserve"> MK, </w:t>
      </w:r>
      <w:proofErr w:type="spellStart"/>
      <w:r w:rsidRPr="000654A2">
        <w:t>Dichgans</w:t>
      </w:r>
      <w:proofErr w:type="spellEnd"/>
      <w:r w:rsidRPr="000654A2">
        <w:t xml:space="preserve"> M. Risk factors for cognitive impairment and dementia after stroke: a systematic review and meta-analysis. Lancet Healthy </w:t>
      </w:r>
      <w:proofErr w:type="spellStart"/>
      <w:r w:rsidRPr="000654A2">
        <w:t>Longev</w:t>
      </w:r>
      <w:proofErr w:type="spellEnd"/>
      <w:r w:rsidRPr="000654A2">
        <w:t>. 2023</w:t>
      </w:r>
      <w:proofErr w:type="gramStart"/>
      <w:r w:rsidRPr="000654A2">
        <w:t>;4</w:t>
      </w:r>
      <w:proofErr w:type="gramEnd"/>
      <w:r w:rsidRPr="000654A2">
        <w:t xml:space="preserve">(1):e45-e56. doi:10.1016/S2666-7568(23)00217-9 </w:t>
      </w:r>
    </w:p>
    <w:p w:rsidR="000654A2" w:rsidRPr="000654A2" w:rsidRDefault="000654A2" w:rsidP="002874F8">
      <w:pPr>
        <w:pStyle w:val="Body"/>
        <w:numPr>
          <w:ilvl w:val="0"/>
          <w:numId w:val="18"/>
        </w:numPr>
      </w:pPr>
      <w:r w:rsidRPr="000654A2">
        <w:t xml:space="preserve">Huang YY, Chen SD, </w:t>
      </w:r>
      <w:proofErr w:type="spellStart"/>
      <w:r w:rsidRPr="000654A2">
        <w:t>Leng</w:t>
      </w:r>
      <w:proofErr w:type="spellEnd"/>
      <w:r w:rsidRPr="000654A2">
        <w:t xml:space="preserve"> X, </w:t>
      </w:r>
      <w:proofErr w:type="spellStart"/>
      <w:r w:rsidRPr="000654A2">
        <w:t>Kuo</w:t>
      </w:r>
      <w:proofErr w:type="spellEnd"/>
      <w:r w:rsidRPr="000654A2">
        <w:t xml:space="preserve"> K, Wang ZT, Cui M, et al. Post-stroke cognitive impairment: epidemiology, risk factors, and management. J </w:t>
      </w:r>
      <w:proofErr w:type="spellStart"/>
      <w:r w:rsidRPr="000654A2">
        <w:t>Alzheimers</w:t>
      </w:r>
      <w:proofErr w:type="spellEnd"/>
      <w:r w:rsidRPr="000654A2">
        <w:t xml:space="preserve"> Dis. 2022</w:t>
      </w:r>
      <w:proofErr w:type="gramStart"/>
      <w:r w:rsidRPr="000654A2">
        <w:t>;86</w:t>
      </w:r>
      <w:proofErr w:type="gramEnd"/>
      <w:r w:rsidRPr="000654A2">
        <w:t xml:space="preserve">(3):983-999. doi:10.3233/JAD-215644 </w:t>
      </w:r>
    </w:p>
    <w:p w:rsidR="000654A2" w:rsidRPr="000654A2" w:rsidRDefault="000654A2" w:rsidP="002874F8">
      <w:pPr>
        <w:pStyle w:val="Body"/>
        <w:numPr>
          <w:ilvl w:val="0"/>
          <w:numId w:val="18"/>
        </w:numPr>
      </w:pPr>
      <w:proofErr w:type="spellStart"/>
      <w:r w:rsidRPr="000654A2">
        <w:t>Rost</w:t>
      </w:r>
      <w:proofErr w:type="spellEnd"/>
      <w:r w:rsidRPr="000654A2">
        <w:t xml:space="preserve"> NS, </w:t>
      </w:r>
      <w:proofErr w:type="spellStart"/>
      <w:r w:rsidRPr="000654A2">
        <w:t>Brodtmann</w:t>
      </w:r>
      <w:proofErr w:type="spellEnd"/>
      <w:r w:rsidRPr="000654A2">
        <w:t xml:space="preserve"> A, </w:t>
      </w:r>
      <w:proofErr w:type="spellStart"/>
      <w:r w:rsidRPr="000654A2">
        <w:t>Pase</w:t>
      </w:r>
      <w:proofErr w:type="spellEnd"/>
      <w:r w:rsidRPr="000654A2">
        <w:t xml:space="preserve"> MP, van </w:t>
      </w:r>
      <w:proofErr w:type="spellStart"/>
      <w:r w:rsidRPr="000654A2">
        <w:t>Veluw</w:t>
      </w:r>
      <w:proofErr w:type="spellEnd"/>
      <w:r w:rsidRPr="000654A2">
        <w:t xml:space="preserve"> SJ, </w:t>
      </w:r>
      <w:proofErr w:type="spellStart"/>
      <w:r w:rsidRPr="000654A2">
        <w:t>Biffi</w:t>
      </w:r>
      <w:proofErr w:type="spellEnd"/>
      <w:r w:rsidRPr="000654A2">
        <w:t xml:space="preserve"> A, </w:t>
      </w:r>
      <w:proofErr w:type="spellStart"/>
      <w:r w:rsidRPr="000654A2">
        <w:t>Duering</w:t>
      </w:r>
      <w:proofErr w:type="spellEnd"/>
      <w:r w:rsidRPr="000654A2">
        <w:t xml:space="preserve"> M, et al. Post-stroke cognitive impairment and dementia. </w:t>
      </w:r>
      <w:proofErr w:type="spellStart"/>
      <w:r w:rsidRPr="000654A2">
        <w:t>Circ</w:t>
      </w:r>
      <w:proofErr w:type="spellEnd"/>
      <w:r w:rsidRPr="000654A2">
        <w:t xml:space="preserve"> Res. 2022</w:t>
      </w:r>
      <w:proofErr w:type="gramStart"/>
      <w:r w:rsidRPr="000654A2">
        <w:t>;130</w:t>
      </w:r>
      <w:proofErr w:type="gramEnd"/>
      <w:r w:rsidRPr="000654A2">
        <w:t xml:space="preserve">(8):1252-1271. doi:10.1161/CIRCRESAHA.122.319951 </w:t>
      </w:r>
    </w:p>
    <w:p w:rsidR="000654A2" w:rsidRPr="000654A2" w:rsidRDefault="000654A2" w:rsidP="002874F8">
      <w:pPr>
        <w:pStyle w:val="Body"/>
        <w:numPr>
          <w:ilvl w:val="0"/>
          <w:numId w:val="18"/>
        </w:numPr>
      </w:pPr>
      <w:r w:rsidRPr="000654A2">
        <w:t xml:space="preserve">Weaver NA, </w:t>
      </w:r>
      <w:proofErr w:type="spellStart"/>
      <w:r w:rsidRPr="000654A2">
        <w:t>Kuijf</w:t>
      </w:r>
      <w:proofErr w:type="spellEnd"/>
      <w:r w:rsidRPr="000654A2">
        <w:t xml:space="preserve"> HJ, </w:t>
      </w:r>
      <w:proofErr w:type="spellStart"/>
      <w:r w:rsidRPr="000654A2">
        <w:t>Aben</w:t>
      </w:r>
      <w:proofErr w:type="spellEnd"/>
      <w:r w:rsidRPr="000654A2">
        <w:t xml:space="preserve"> HP, </w:t>
      </w:r>
      <w:proofErr w:type="spellStart"/>
      <w:r w:rsidRPr="000654A2">
        <w:t>Abrigo</w:t>
      </w:r>
      <w:proofErr w:type="spellEnd"/>
      <w:r w:rsidRPr="000654A2">
        <w:t xml:space="preserve"> J, </w:t>
      </w:r>
      <w:proofErr w:type="spellStart"/>
      <w:r w:rsidRPr="000654A2">
        <w:t>Bae</w:t>
      </w:r>
      <w:proofErr w:type="spellEnd"/>
      <w:r w:rsidRPr="000654A2">
        <w:t xml:space="preserve"> H, </w:t>
      </w:r>
      <w:proofErr w:type="spellStart"/>
      <w:r w:rsidRPr="000654A2">
        <w:t>Barbay</w:t>
      </w:r>
      <w:proofErr w:type="spellEnd"/>
      <w:r w:rsidRPr="000654A2">
        <w:t xml:space="preserve"> M, et al. Strategic infarct locations for post-stroke cognitive impairment: a pooled analysis of individual patient data from 12 acute </w:t>
      </w:r>
      <w:proofErr w:type="spellStart"/>
      <w:r w:rsidRPr="000654A2">
        <w:t>ischaemic</w:t>
      </w:r>
      <w:proofErr w:type="spellEnd"/>
      <w:r w:rsidRPr="000654A2">
        <w:t xml:space="preserve"> stroke cohorts. Lancet Neurol. 2021</w:t>
      </w:r>
      <w:proofErr w:type="gramStart"/>
      <w:r w:rsidRPr="000654A2">
        <w:t>;20</w:t>
      </w:r>
      <w:proofErr w:type="gramEnd"/>
      <w:r w:rsidRPr="000654A2">
        <w:t xml:space="preserve">(6):448-459. doi:10.1016/S1474-4422(21)00060-0 </w:t>
      </w:r>
    </w:p>
    <w:p w:rsidR="000654A2" w:rsidRPr="000654A2" w:rsidRDefault="000654A2" w:rsidP="002874F8">
      <w:pPr>
        <w:pStyle w:val="Body"/>
        <w:numPr>
          <w:ilvl w:val="0"/>
          <w:numId w:val="18"/>
        </w:numPr>
      </w:pPr>
      <w:proofErr w:type="spellStart"/>
      <w:r w:rsidRPr="000654A2">
        <w:t>Husseini</w:t>
      </w:r>
      <w:proofErr w:type="spellEnd"/>
      <w:r w:rsidRPr="000654A2">
        <w:t xml:space="preserve"> NKE, </w:t>
      </w:r>
      <w:proofErr w:type="spellStart"/>
      <w:r w:rsidRPr="000654A2">
        <w:t>Katzan</w:t>
      </w:r>
      <w:proofErr w:type="spellEnd"/>
      <w:r w:rsidRPr="000654A2">
        <w:t xml:space="preserve"> I, </w:t>
      </w:r>
      <w:proofErr w:type="spellStart"/>
      <w:r w:rsidRPr="000654A2">
        <w:t>Rost</w:t>
      </w:r>
      <w:proofErr w:type="spellEnd"/>
      <w:r w:rsidRPr="000654A2">
        <w:t xml:space="preserve"> NS, Blake M, </w:t>
      </w:r>
      <w:proofErr w:type="spellStart"/>
      <w:r w:rsidRPr="000654A2">
        <w:t>Byun</w:t>
      </w:r>
      <w:proofErr w:type="spellEnd"/>
      <w:r w:rsidRPr="000654A2">
        <w:t xml:space="preserve"> E, </w:t>
      </w:r>
      <w:proofErr w:type="spellStart"/>
      <w:r w:rsidRPr="000654A2">
        <w:t>Pendlebury</w:t>
      </w:r>
      <w:proofErr w:type="spellEnd"/>
      <w:r w:rsidRPr="000654A2">
        <w:t xml:space="preserve"> ST, et al. Cognitive impairment after ischemic and hemorrhagic stroke: a scientific statement from the American Heart Association/American Stroke Association. Stroke. 2023</w:t>
      </w:r>
      <w:proofErr w:type="gramStart"/>
      <w:r w:rsidRPr="000654A2">
        <w:t>;54</w:t>
      </w:r>
      <w:proofErr w:type="gramEnd"/>
      <w:r w:rsidRPr="000654A2">
        <w:t xml:space="preserve">(6):e272-e291. doi:10.1161/STR.0000000000000430 </w:t>
      </w:r>
    </w:p>
    <w:p w:rsidR="000654A2" w:rsidRPr="000654A2" w:rsidRDefault="000654A2" w:rsidP="002874F8">
      <w:pPr>
        <w:pStyle w:val="Body"/>
        <w:numPr>
          <w:ilvl w:val="0"/>
          <w:numId w:val="18"/>
        </w:numPr>
      </w:pPr>
      <w:proofErr w:type="spellStart"/>
      <w:r w:rsidRPr="000654A2">
        <w:t>Aam</w:t>
      </w:r>
      <w:proofErr w:type="spellEnd"/>
      <w:r w:rsidRPr="000654A2">
        <w:t xml:space="preserve"> S, </w:t>
      </w:r>
      <w:proofErr w:type="spellStart"/>
      <w:r w:rsidRPr="000654A2">
        <w:t>Einstad</w:t>
      </w:r>
      <w:proofErr w:type="spellEnd"/>
      <w:r w:rsidRPr="000654A2">
        <w:t xml:space="preserve"> MS, </w:t>
      </w:r>
      <w:proofErr w:type="spellStart"/>
      <w:r w:rsidRPr="000654A2">
        <w:t>Munthe-Kaas</w:t>
      </w:r>
      <w:proofErr w:type="spellEnd"/>
      <w:r w:rsidRPr="000654A2">
        <w:t xml:space="preserve"> R, </w:t>
      </w:r>
      <w:proofErr w:type="spellStart"/>
      <w:r w:rsidRPr="000654A2">
        <w:t>Lydersen</w:t>
      </w:r>
      <w:proofErr w:type="spellEnd"/>
      <w:r w:rsidRPr="000654A2">
        <w:t xml:space="preserve"> S, </w:t>
      </w:r>
      <w:proofErr w:type="spellStart"/>
      <w:r w:rsidRPr="000654A2">
        <w:t>Ihle</w:t>
      </w:r>
      <w:proofErr w:type="spellEnd"/>
      <w:r w:rsidRPr="000654A2">
        <w:t xml:space="preserve">-Hansen H, </w:t>
      </w:r>
      <w:proofErr w:type="spellStart"/>
      <w:r w:rsidRPr="000654A2">
        <w:t>Knapskog</w:t>
      </w:r>
      <w:proofErr w:type="spellEnd"/>
      <w:r w:rsidRPr="000654A2">
        <w:t xml:space="preserve"> AB, et al. Post-stroke cognitive impairment—impact of follow-up time and stroke subtype on severity and cognitive profile: the Nor-COAST study. Front Neurol. 2020</w:t>
      </w:r>
      <w:proofErr w:type="gramStart"/>
      <w:r w:rsidRPr="000654A2">
        <w:t>;11:699</w:t>
      </w:r>
      <w:proofErr w:type="gramEnd"/>
      <w:r w:rsidRPr="000654A2">
        <w:t xml:space="preserve">. doi:10.3389/fneur.2020.00699 </w:t>
      </w:r>
    </w:p>
    <w:p w:rsidR="000654A2" w:rsidRPr="000654A2" w:rsidRDefault="000654A2" w:rsidP="002874F8">
      <w:pPr>
        <w:pStyle w:val="Body"/>
        <w:numPr>
          <w:ilvl w:val="0"/>
          <w:numId w:val="18"/>
        </w:numPr>
      </w:pPr>
      <w:proofErr w:type="spellStart"/>
      <w:r w:rsidRPr="000654A2">
        <w:t>Stolwyk</w:t>
      </w:r>
      <w:proofErr w:type="spellEnd"/>
      <w:r w:rsidRPr="000654A2">
        <w:t xml:space="preserve"> R, </w:t>
      </w:r>
      <w:proofErr w:type="spellStart"/>
      <w:r w:rsidRPr="000654A2">
        <w:t>Mihaljcic</w:t>
      </w:r>
      <w:proofErr w:type="spellEnd"/>
      <w:r w:rsidRPr="000654A2">
        <w:t xml:space="preserve"> T, Wong DK, Chapman J, Rogers JM. </w:t>
      </w:r>
      <w:proofErr w:type="spellStart"/>
      <w:r w:rsidRPr="000654A2">
        <w:t>Poststroke</w:t>
      </w:r>
      <w:proofErr w:type="spellEnd"/>
      <w:r w:rsidRPr="000654A2">
        <w:t xml:space="preserve"> cognitive impairment negatively impacts activity and participation outcomes: a systematic review and meta-analysis. Stroke. 2021</w:t>
      </w:r>
      <w:proofErr w:type="gramStart"/>
      <w:r w:rsidRPr="000654A2">
        <w:t>;52</w:t>
      </w:r>
      <w:proofErr w:type="gramEnd"/>
      <w:r w:rsidRPr="000654A2">
        <w:t xml:space="preserve">(2):748-760. doi:10.1161/STROKEAHA.120.032215 </w:t>
      </w:r>
    </w:p>
    <w:p w:rsidR="000654A2" w:rsidRPr="000654A2" w:rsidRDefault="000654A2" w:rsidP="002874F8">
      <w:pPr>
        <w:pStyle w:val="Body"/>
        <w:numPr>
          <w:ilvl w:val="0"/>
          <w:numId w:val="18"/>
        </w:numPr>
      </w:pPr>
      <w:proofErr w:type="spellStart"/>
      <w:r w:rsidRPr="000654A2">
        <w:t>Gallucci</w:t>
      </w:r>
      <w:proofErr w:type="spellEnd"/>
      <w:r w:rsidRPr="000654A2">
        <w:t xml:space="preserve"> L, </w:t>
      </w:r>
      <w:proofErr w:type="spellStart"/>
      <w:r w:rsidRPr="000654A2">
        <w:t>Sperber</w:t>
      </w:r>
      <w:proofErr w:type="spellEnd"/>
      <w:r w:rsidRPr="000654A2">
        <w:t xml:space="preserve"> C, </w:t>
      </w:r>
      <w:proofErr w:type="spellStart"/>
      <w:r w:rsidRPr="000654A2">
        <w:t>Guggisberg</w:t>
      </w:r>
      <w:proofErr w:type="spellEnd"/>
      <w:r w:rsidRPr="000654A2">
        <w:t xml:space="preserve"> AG, </w:t>
      </w:r>
      <w:proofErr w:type="spellStart"/>
      <w:r w:rsidRPr="000654A2">
        <w:t>Kaller</w:t>
      </w:r>
      <w:proofErr w:type="spellEnd"/>
      <w:r w:rsidRPr="000654A2">
        <w:t xml:space="preserve"> CP, </w:t>
      </w:r>
      <w:proofErr w:type="spellStart"/>
      <w:r w:rsidRPr="000654A2">
        <w:t>Heldner</w:t>
      </w:r>
      <w:proofErr w:type="spellEnd"/>
      <w:r w:rsidRPr="000654A2">
        <w:t xml:space="preserve"> MR, </w:t>
      </w:r>
      <w:proofErr w:type="spellStart"/>
      <w:r w:rsidRPr="000654A2">
        <w:t>Monsch</w:t>
      </w:r>
      <w:proofErr w:type="spellEnd"/>
      <w:r w:rsidRPr="000654A2">
        <w:t xml:space="preserve"> AU, et al. Post-stroke cognitive impairment remains highly prevalent and disabling despite state-of-the-art stroke treatment. </w:t>
      </w:r>
      <w:proofErr w:type="spellStart"/>
      <w:r w:rsidRPr="000654A2">
        <w:t>Int</w:t>
      </w:r>
      <w:proofErr w:type="spellEnd"/>
      <w:r w:rsidRPr="000654A2">
        <w:t xml:space="preserve"> J Stroke. 2024</w:t>
      </w:r>
      <w:proofErr w:type="gramStart"/>
      <w:r w:rsidRPr="000654A2">
        <w:t>;19</w:t>
      </w:r>
      <w:proofErr w:type="gramEnd"/>
      <w:r w:rsidRPr="000654A2">
        <w:t xml:space="preserve">(4):421-430. doi:10.1177/17474930241238637 </w:t>
      </w:r>
    </w:p>
    <w:p w:rsidR="000654A2" w:rsidRPr="000654A2" w:rsidRDefault="000654A2" w:rsidP="002874F8">
      <w:pPr>
        <w:pStyle w:val="Body"/>
        <w:numPr>
          <w:ilvl w:val="0"/>
          <w:numId w:val="18"/>
        </w:numPr>
      </w:pPr>
      <w:proofErr w:type="spellStart"/>
      <w:r w:rsidRPr="000654A2">
        <w:t>Mulhern</w:t>
      </w:r>
      <w:proofErr w:type="spellEnd"/>
      <w:r w:rsidRPr="000654A2">
        <w:t xml:space="preserve"> M. Cognitive rehabilitation interventions for post-stroke populations. Del J Public Health. 2023</w:t>
      </w:r>
      <w:proofErr w:type="gramStart"/>
      <w:r w:rsidRPr="000654A2">
        <w:t>;9</w:t>
      </w:r>
      <w:proofErr w:type="gramEnd"/>
      <w:r w:rsidRPr="000654A2">
        <w:t xml:space="preserve">(4):52-58. doi:10.32481/djph.2023.08.012 </w:t>
      </w:r>
    </w:p>
    <w:p w:rsidR="000654A2" w:rsidRPr="000654A2" w:rsidRDefault="000654A2" w:rsidP="002874F8">
      <w:pPr>
        <w:pStyle w:val="Body"/>
        <w:numPr>
          <w:ilvl w:val="0"/>
          <w:numId w:val="18"/>
        </w:numPr>
      </w:pPr>
      <w:proofErr w:type="spellStart"/>
      <w:r w:rsidRPr="000654A2">
        <w:t>Brott</w:t>
      </w:r>
      <w:proofErr w:type="spellEnd"/>
      <w:r w:rsidRPr="000654A2">
        <w:t xml:space="preserve"> T, Adams HP </w:t>
      </w:r>
      <w:proofErr w:type="spellStart"/>
      <w:r w:rsidRPr="000654A2">
        <w:t>Jr</w:t>
      </w:r>
      <w:proofErr w:type="spellEnd"/>
      <w:r w:rsidRPr="000654A2">
        <w:t xml:space="preserve">, </w:t>
      </w:r>
      <w:proofErr w:type="spellStart"/>
      <w:r w:rsidRPr="000654A2">
        <w:t>Olinger</w:t>
      </w:r>
      <w:proofErr w:type="spellEnd"/>
      <w:r w:rsidRPr="000654A2">
        <w:t xml:space="preserve"> CP, </w:t>
      </w:r>
      <w:proofErr w:type="spellStart"/>
      <w:r w:rsidRPr="000654A2">
        <w:t>Marler</w:t>
      </w:r>
      <w:proofErr w:type="spellEnd"/>
      <w:r w:rsidRPr="000654A2">
        <w:t xml:space="preserve"> JR, </w:t>
      </w:r>
      <w:proofErr w:type="spellStart"/>
      <w:r w:rsidRPr="000654A2">
        <w:t>Barsan</w:t>
      </w:r>
      <w:proofErr w:type="spellEnd"/>
      <w:r w:rsidRPr="000654A2">
        <w:t xml:space="preserve"> WG, Biller J, et al. Measurements of acute cerebral infarction: a clinical examination scale. Stroke. 1989</w:t>
      </w:r>
      <w:proofErr w:type="gramStart"/>
      <w:r w:rsidRPr="000654A2">
        <w:t>;20</w:t>
      </w:r>
      <w:proofErr w:type="gramEnd"/>
      <w:r w:rsidRPr="000654A2">
        <w:t xml:space="preserve">(7):864-870. doi:10.1161/01.STR.20.7.864 </w:t>
      </w:r>
    </w:p>
    <w:p w:rsidR="000654A2" w:rsidRPr="000654A2" w:rsidRDefault="000654A2" w:rsidP="002874F8">
      <w:pPr>
        <w:pStyle w:val="Body"/>
        <w:numPr>
          <w:ilvl w:val="0"/>
          <w:numId w:val="18"/>
        </w:numPr>
      </w:pPr>
      <w:proofErr w:type="spellStart"/>
      <w:r w:rsidRPr="000654A2">
        <w:t>Myooran</w:t>
      </w:r>
      <w:proofErr w:type="spellEnd"/>
      <w:r w:rsidRPr="000654A2">
        <w:t xml:space="preserve"> J, Rahman F, </w:t>
      </w:r>
      <w:proofErr w:type="spellStart"/>
      <w:r w:rsidRPr="000654A2">
        <w:t>Cordato</w:t>
      </w:r>
      <w:proofErr w:type="spellEnd"/>
      <w:r w:rsidRPr="000654A2">
        <w:t xml:space="preserve"> D, </w:t>
      </w:r>
      <w:proofErr w:type="spellStart"/>
      <w:r w:rsidRPr="000654A2">
        <w:t>Ní</w:t>
      </w:r>
      <w:proofErr w:type="spellEnd"/>
      <w:r w:rsidRPr="000654A2">
        <w:t xml:space="preserve"> </w:t>
      </w:r>
      <w:proofErr w:type="spellStart"/>
      <w:r w:rsidRPr="000654A2">
        <w:t>Chróinín</w:t>
      </w:r>
      <w:proofErr w:type="spellEnd"/>
      <w:r w:rsidRPr="000654A2">
        <w:t xml:space="preserve"> D. Cognitive outcomes following </w:t>
      </w:r>
      <w:proofErr w:type="spellStart"/>
      <w:r w:rsidRPr="000654A2">
        <w:t>ischaemic</w:t>
      </w:r>
      <w:proofErr w:type="spellEnd"/>
      <w:r w:rsidRPr="000654A2">
        <w:t xml:space="preserve"> stroke: a narrative review. Aging Health Res. 2025</w:t>
      </w:r>
      <w:proofErr w:type="gramStart"/>
      <w:r w:rsidRPr="000654A2">
        <w:t>;5</w:t>
      </w:r>
      <w:proofErr w:type="gramEnd"/>
      <w:r w:rsidRPr="000654A2">
        <w:t xml:space="preserve">(1):100232. doi:10.1016/j.ahr.2025.100232 </w:t>
      </w:r>
    </w:p>
    <w:p w:rsidR="000654A2" w:rsidRPr="000654A2" w:rsidRDefault="000654A2" w:rsidP="002874F8">
      <w:pPr>
        <w:pStyle w:val="Body"/>
        <w:numPr>
          <w:ilvl w:val="0"/>
          <w:numId w:val="18"/>
        </w:numPr>
      </w:pPr>
      <w:proofErr w:type="spellStart"/>
      <w:r w:rsidRPr="000654A2">
        <w:t>Pratiwi</w:t>
      </w:r>
      <w:proofErr w:type="spellEnd"/>
      <w:r w:rsidRPr="000654A2">
        <w:t xml:space="preserve"> SH, Sari E, </w:t>
      </w:r>
      <w:proofErr w:type="spellStart"/>
      <w:r w:rsidRPr="000654A2">
        <w:t>Mirwanti</w:t>
      </w:r>
      <w:proofErr w:type="spellEnd"/>
      <w:r w:rsidRPr="000654A2">
        <w:t xml:space="preserve"> R. Cognitive disorders in post-stroke patients. </w:t>
      </w:r>
      <w:proofErr w:type="spellStart"/>
      <w:r w:rsidRPr="000654A2">
        <w:t>Maj</w:t>
      </w:r>
      <w:proofErr w:type="spellEnd"/>
      <w:r w:rsidRPr="000654A2">
        <w:t xml:space="preserve"> </w:t>
      </w:r>
      <w:proofErr w:type="spellStart"/>
      <w:r w:rsidRPr="000654A2">
        <w:t>Kesehat</w:t>
      </w:r>
      <w:proofErr w:type="spellEnd"/>
      <w:r w:rsidRPr="000654A2">
        <w:t xml:space="preserve"> </w:t>
      </w:r>
      <w:proofErr w:type="spellStart"/>
      <w:r w:rsidRPr="000654A2">
        <w:t>Indones</w:t>
      </w:r>
      <w:proofErr w:type="spellEnd"/>
      <w:r w:rsidRPr="000654A2">
        <w:t>. 2024</w:t>
      </w:r>
      <w:proofErr w:type="gramStart"/>
      <w:r w:rsidRPr="000654A2">
        <w:t>;5</w:t>
      </w:r>
      <w:proofErr w:type="gramEnd"/>
      <w:r w:rsidRPr="000654A2">
        <w:t xml:space="preserve">(2):77-84. doi:10.47679/makein.2024203 </w:t>
      </w:r>
    </w:p>
    <w:p w:rsidR="000654A2" w:rsidRPr="000654A2" w:rsidRDefault="000654A2" w:rsidP="002874F8">
      <w:pPr>
        <w:pStyle w:val="Body"/>
        <w:numPr>
          <w:ilvl w:val="0"/>
          <w:numId w:val="18"/>
        </w:numPr>
      </w:pPr>
      <w:r w:rsidRPr="000654A2">
        <w:t xml:space="preserve">Zhang X, Bi X. Post-stroke cognitive impairment: a review focusing on molecular biomarkers. J </w:t>
      </w:r>
      <w:proofErr w:type="spellStart"/>
      <w:r w:rsidRPr="000654A2">
        <w:t>Mol</w:t>
      </w:r>
      <w:proofErr w:type="spellEnd"/>
      <w:r w:rsidRPr="000654A2">
        <w:t xml:space="preserve"> </w:t>
      </w:r>
      <w:proofErr w:type="spellStart"/>
      <w:r w:rsidRPr="000654A2">
        <w:t>Neurosci</w:t>
      </w:r>
      <w:proofErr w:type="spellEnd"/>
      <w:r w:rsidRPr="000654A2">
        <w:t>. 2020</w:t>
      </w:r>
      <w:proofErr w:type="gramStart"/>
      <w:r w:rsidRPr="000654A2">
        <w:t>;70</w:t>
      </w:r>
      <w:proofErr w:type="gramEnd"/>
      <w:r w:rsidRPr="000654A2">
        <w:t xml:space="preserve">(8):1244-1254. doi:10.1007/s12031-020-01533-8 </w:t>
      </w:r>
    </w:p>
    <w:p w:rsidR="000654A2" w:rsidRPr="000654A2" w:rsidRDefault="000654A2" w:rsidP="002874F8">
      <w:pPr>
        <w:pStyle w:val="Body"/>
        <w:numPr>
          <w:ilvl w:val="0"/>
          <w:numId w:val="18"/>
        </w:numPr>
      </w:pPr>
      <w:proofErr w:type="spellStart"/>
      <w:r w:rsidRPr="000654A2">
        <w:t>Boletimi</w:t>
      </w:r>
      <w:proofErr w:type="spellEnd"/>
      <w:r w:rsidRPr="000654A2">
        <w:t xml:space="preserve"> RO, </w:t>
      </w:r>
      <w:proofErr w:type="spellStart"/>
      <w:r w:rsidRPr="000654A2">
        <w:t>Kembuan</w:t>
      </w:r>
      <w:proofErr w:type="spellEnd"/>
      <w:r w:rsidRPr="000654A2">
        <w:t xml:space="preserve"> MAHN, Pertiwi JM. </w:t>
      </w:r>
      <w:proofErr w:type="spellStart"/>
      <w:r w:rsidRPr="000654A2">
        <w:t>Gambaran</w:t>
      </w:r>
      <w:proofErr w:type="spellEnd"/>
      <w:r w:rsidRPr="000654A2">
        <w:t xml:space="preserve"> </w:t>
      </w:r>
      <w:proofErr w:type="spellStart"/>
      <w:r w:rsidRPr="000654A2">
        <w:t>fungsi</w:t>
      </w:r>
      <w:proofErr w:type="spellEnd"/>
      <w:r w:rsidRPr="000654A2">
        <w:t xml:space="preserve"> </w:t>
      </w:r>
      <w:proofErr w:type="spellStart"/>
      <w:r w:rsidRPr="000654A2">
        <w:t>kognitif</w:t>
      </w:r>
      <w:proofErr w:type="spellEnd"/>
      <w:r w:rsidRPr="000654A2">
        <w:t xml:space="preserve"> </w:t>
      </w:r>
      <w:proofErr w:type="spellStart"/>
      <w:r w:rsidRPr="000654A2">
        <w:t>pasien</w:t>
      </w:r>
      <w:proofErr w:type="spellEnd"/>
      <w:r w:rsidRPr="000654A2">
        <w:t xml:space="preserve"> </w:t>
      </w:r>
      <w:proofErr w:type="spellStart"/>
      <w:r w:rsidRPr="000654A2">
        <w:t>pasca</w:t>
      </w:r>
      <w:proofErr w:type="spellEnd"/>
      <w:r w:rsidRPr="000654A2">
        <w:t xml:space="preserve"> stroke. Med Scope J. 2021</w:t>
      </w:r>
      <w:proofErr w:type="gramStart"/>
      <w:r w:rsidRPr="000654A2">
        <w:t>;2</w:t>
      </w:r>
      <w:proofErr w:type="gramEnd"/>
      <w:r w:rsidRPr="000654A2">
        <w:t xml:space="preserve">(2):89-95. doi:10.35790/msj.2.2.2021.32546 </w:t>
      </w:r>
    </w:p>
    <w:p w:rsidR="000654A2" w:rsidRPr="000654A2" w:rsidRDefault="000654A2" w:rsidP="002874F8">
      <w:pPr>
        <w:pStyle w:val="Body"/>
        <w:numPr>
          <w:ilvl w:val="0"/>
          <w:numId w:val="18"/>
        </w:numPr>
      </w:pPr>
      <w:r w:rsidRPr="000654A2">
        <w:t xml:space="preserve">Lingo </w:t>
      </w:r>
      <w:proofErr w:type="spellStart"/>
      <w:r w:rsidRPr="000654A2">
        <w:t>VanGilder</w:t>
      </w:r>
      <w:proofErr w:type="spellEnd"/>
      <w:r w:rsidRPr="000654A2">
        <w:t xml:space="preserve"> J, </w:t>
      </w:r>
      <w:proofErr w:type="spellStart"/>
      <w:r w:rsidRPr="000654A2">
        <w:t>Hooyman</w:t>
      </w:r>
      <w:proofErr w:type="spellEnd"/>
      <w:r w:rsidRPr="000654A2">
        <w:t xml:space="preserve"> A, Peterson DS, Schaefer SY. Post-stroke cognitive impairments and responsiveness to motor rehabilitation: a review. </w:t>
      </w:r>
      <w:proofErr w:type="spellStart"/>
      <w:r w:rsidRPr="000654A2">
        <w:t>Curr</w:t>
      </w:r>
      <w:proofErr w:type="spellEnd"/>
      <w:r w:rsidRPr="000654A2">
        <w:t xml:space="preserve"> </w:t>
      </w:r>
      <w:proofErr w:type="spellStart"/>
      <w:r w:rsidRPr="000654A2">
        <w:t>Phys</w:t>
      </w:r>
      <w:proofErr w:type="spellEnd"/>
      <w:r w:rsidRPr="000654A2">
        <w:t xml:space="preserve"> Med </w:t>
      </w:r>
      <w:proofErr w:type="spellStart"/>
      <w:r w:rsidRPr="000654A2">
        <w:t>Rehabil</w:t>
      </w:r>
      <w:proofErr w:type="spellEnd"/>
      <w:r w:rsidRPr="000654A2">
        <w:t xml:space="preserve"> Rep. 2020</w:t>
      </w:r>
      <w:proofErr w:type="gramStart"/>
      <w:r w:rsidRPr="000654A2">
        <w:t>;8</w:t>
      </w:r>
      <w:proofErr w:type="gramEnd"/>
      <w:r w:rsidRPr="000654A2">
        <w:t xml:space="preserve">(4):461-468. doi:10.1007/s40141-020-00283-3 </w:t>
      </w:r>
    </w:p>
    <w:p w:rsidR="000654A2" w:rsidRPr="000654A2" w:rsidRDefault="000654A2" w:rsidP="002874F8">
      <w:pPr>
        <w:pStyle w:val="Body"/>
        <w:numPr>
          <w:ilvl w:val="0"/>
          <w:numId w:val="18"/>
        </w:numPr>
      </w:pPr>
      <w:r w:rsidRPr="000654A2">
        <w:lastRenderedPageBreak/>
        <w:t xml:space="preserve">LR A, GA B, VS V. Cognitive functions after cerebral stroke. </w:t>
      </w:r>
      <w:proofErr w:type="spellStart"/>
      <w:r w:rsidRPr="000654A2">
        <w:t>Neurol</w:t>
      </w:r>
      <w:proofErr w:type="spellEnd"/>
      <w:r w:rsidRPr="000654A2">
        <w:t xml:space="preserve"> Neuropsychiatry Psychosomatics. 2021</w:t>
      </w:r>
      <w:proofErr w:type="gramStart"/>
      <w:r w:rsidRPr="000654A2">
        <w:t>;23</w:t>
      </w:r>
      <w:proofErr w:type="gramEnd"/>
      <w:r w:rsidRPr="000654A2">
        <w:t>(5):176-180. doi:10.26787/NYDHA-2686-6838-2021-23-5-176-180</w:t>
      </w:r>
    </w:p>
    <w:p w:rsidR="00441E67" w:rsidRPr="004175AC" w:rsidRDefault="00441E67" w:rsidP="000654A2">
      <w:pPr>
        <w:pStyle w:val="Body"/>
      </w:pPr>
    </w:p>
    <w:sectPr w:rsidR="00441E67" w:rsidRPr="004175AC"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55E" w:rsidRDefault="00DE455E" w:rsidP="005146DA">
      <w:pPr>
        <w:spacing w:after="0" w:line="240" w:lineRule="auto"/>
      </w:pPr>
      <w:r>
        <w:separator/>
      </w:r>
    </w:p>
  </w:endnote>
  <w:endnote w:type="continuationSeparator" w:id="0">
    <w:p w:rsidR="00DE455E" w:rsidRDefault="00DE455E"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55E" w:rsidRDefault="00DE455E" w:rsidP="005146DA">
      <w:pPr>
        <w:spacing w:after="0" w:line="240" w:lineRule="auto"/>
      </w:pPr>
      <w:r>
        <w:separator/>
      </w:r>
    </w:p>
  </w:footnote>
  <w:footnote w:type="continuationSeparator" w:id="0">
    <w:p w:rsidR="00DE455E" w:rsidRDefault="00DE455E"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5B1AB7">
          <w:rPr>
            <w:rStyle w:val="BodyChar"/>
            <w:rFonts w:cstheme="majorBidi"/>
            <w:color w:val="074F6A"/>
            <w:sz w:val="18"/>
            <w:vertAlign w:val="subscript"/>
          </w:rPr>
          <w:t>1994</w:t>
        </w:r>
        <w:r w:rsidRPr="008F6C61">
          <w:rPr>
            <w:rStyle w:val="BodyChar"/>
            <w:rFonts w:cstheme="majorBidi"/>
            <w:color w:val="074F6A"/>
            <w:sz w:val="18"/>
            <w:vertAlign w:val="subscript"/>
          </w:rPr>
          <w:t xml:space="preserve">| </w:t>
        </w:r>
        <w:r w:rsidR="001D7633">
          <w:rPr>
            <w:rStyle w:val="BodyChar"/>
            <w:rFonts w:cstheme="majorBidi"/>
            <w:color w:val="074F6A"/>
            <w:sz w:val="18"/>
            <w:vertAlign w:val="subscript"/>
          </w:rPr>
          <w:t>2026</w:t>
        </w:r>
        <w:proofErr w:type="gramStart"/>
        <w:r w:rsidRPr="008F6C61">
          <w:rPr>
            <w:rStyle w:val="BodyChar"/>
            <w:rFonts w:cstheme="majorBidi"/>
            <w:color w:val="074F6A"/>
            <w:sz w:val="18"/>
            <w:vertAlign w:val="subscript"/>
          </w:rPr>
          <w:t>;</w:t>
        </w:r>
        <w:r w:rsidR="001D7633">
          <w:rPr>
            <w:rStyle w:val="BodyChar"/>
            <w:rFonts w:cstheme="majorBidi"/>
            <w:color w:val="074F6A"/>
            <w:sz w:val="18"/>
            <w:vertAlign w:val="subscript"/>
          </w:rPr>
          <w:t>6</w:t>
        </w:r>
        <w:proofErr w:type="gramEnd"/>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5B1AB7" w:rsidRPr="005B1AB7">
          <w:rPr>
            <w:rStyle w:val="BodyChar"/>
            <w:rFonts w:cstheme="majorBidi"/>
            <w:noProof/>
            <w:color w:val="074F6A"/>
            <w:vertAlign w:val="subscript"/>
          </w:rPr>
          <w:t>10</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5B1AB7" w:rsidRPr="005B1AB7">
      <w:rPr>
        <w:rFonts w:ascii="Plantagenet Cherokee" w:hAnsi="Plantagenet Cherokee"/>
        <w:color w:val="0B769F" w:themeColor="accent4" w:themeShade="BF"/>
        <w:sz w:val="14"/>
        <w:szCs w:val="14"/>
      </w:rPr>
      <w:t>10.61919/jhrr.v6i3.1994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D839DD"/>
    <w:multiLevelType w:val="hybridMultilevel"/>
    <w:tmpl w:val="1EE69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606FA5"/>
    <w:multiLevelType w:val="multilevel"/>
    <w:tmpl w:val="C756C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8">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8"/>
  </w:num>
  <w:num w:numId="4">
    <w:abstractNumId w:val="13"/>
  </w:num>
  <w:num w:numId="5">
    <w:abstractNumId w:val="14"/>
  </w:num>
  <w:num w:numId="6">
    <w:abstractNumId w:val="3"/>
  </w:num>
  <w:num w:numId="7">
    <w:abstractNumId w:val="16"/>
  </w:num>
  <w:num w:numId="8">
    <w:abstractNumId w:val="10"/>
  </w:num>
  <w:num w:numId="9">
    <w:abstractNumId w:val="1"/>
  </w:num>
  <w:num w:numId="10">
    <w:abstractNumId w:val="12"/>
  </w:num>
  <w:num w:numId="11">
    <w:abstractNumId w:val="2"/>
  </w:num>
  <w:num w:numId="12">
    <w:abstractNumId w:val="0"/>
  </w:num>
  <w:num w:numId="13">
    <w:abstractNumId w:val="5"/>
  </w:num>
  <w:num w:numId="14">
    <w:abstractNumId w:val="9"/>
  </w:num>
  <w:num w:numId="15">
    <w:abstractNumId w:val="17"/>
  </w:num>
  <w:num w:numId="16">
    <w:abstractNumId w:val="11"/>
  </w:num>
  <w:num w:numId="17">
    <w:abstractNumId w:val="6"/>
  </w:num>
  <w:num w:numId="1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4A2"/>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51F5C"/>
    <w:rsid w:val="000529A5"/>
    <w:rsid w:val="00053EFB"/>
    <w:rsid w:val="00055152"/>
    <w:rsid w:val="000566F8"/>
    <w:rsid w:val="00057EC7"/>
    <w:rsid w:val="00061461"/>
    <w:rsid w:val="0006178B"/>
    <w:rsid w:val="00063B00"/>
    <w:rsid w:val="0006433A"/>
    <w:rsid w:val="000645AC"/>
    <w:rsid w:val="000654A2"/>
    <w:rsid w:val="0006672E"/>
    <w:rsid w:val="00066DE0"/>
    <w:rsid w:val="00075179"/>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874F8"/>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3B6D"/>
    <w:rsid w:val="005A48E1"/>
    <w:rsid w:val="005A7571"/>
    <w:rsid w:val="005B04A7"/>
    <w:rsid w:val="005B1AB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9A8"/>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0731"/>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455E"/>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5:chartTrackingRefBased/>
  <w15:docId w15:val="{4ABC2617-70E8-4F84-A87F-09944C221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199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3F571-36EC-4545-A607-07324BF50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30</TotalTime>
  <Pages>10</Pages>
  <Words>5721</Words>
  <Characters>32616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5</cp:revision>
  <cp:lastPrinted>2026-04-24T11:38:00Z</cp:lastPrinted>
  <dcterms:created xsi:type="dcterms:W3CDTF">2026-06-02T07:00:00Z</dcterms:created>
  <dcterms:modified xsi:type="dcterms:W3CDTF">2026-06-03T09:19:00Z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