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BD0685" w:rsidRPr="00BD0685" w:rsidRDefault="00BD0685" w:rsidP="00BD0685">
      <w:pPr>
        <w:pStyle w:val="Body"/>
        <w:spacing w:before="75" w:after="100"/>
        <w:rPr>
          <w:rFonts w:cstheme="majorBidi"/>
          <w:b/>
          <w:bCs/>
          <w:color w:val="000000" w:themeColor="text1"/>
          <w:sz w:val="36"/>
          <w:szCs w:val="36"/>
        </w:rPr>
      </w:pPr>
      <w:r w:rsidRPr="00BD0685">
        <w:rPr>
          <w:rFonts w:cstheme="majorBidi"/>
          <w:b/>
          <w:bCs/>
          <w:color w:val="000000" w:themeColor="text1"/>
          <w:sz w:val="36"/>
          <w:szCs w:val="36"/>
        </w:rPr>
        <w:t xml:space="preserve">Clinical Outcomes </w:t>
      </w:r>
      <w:proofErr w:type="gramStart"/>
      <w:r w:rsidRPr="00BD0685">
        <w:rPr>
          <w:rFonts w:cstheme="majorBidi"/>
          <w:b/>
          <w:bCs/>
          <w:color w:val="000000" w:themeColor="text1"/>
          <w:sz w:val="36"/>
          <w:szCs w:val="36"/>
        </w:rPr>
        <w:t>And</w:t>
      </w:r>
      <w:proofErr w:type="gramEnd"/>
      <w:r w:rsidRPr="00BD0685">
        <w:rPr>
          <w:rFonts w:cstheme="majorBidi"/>
          <w:b/>
          <w:bCs/>
          <w:color w:val="000000" w:themeColor="text1"/>
          <w:sz w:val="36"/>
          <w:szCs w:val="36"/>
        </w:rPr>
        <w:t xml:space="preserve"> Predictors Of Poor Prognosis In Post-Stroke Dysphagia At Services Hospital Lahore: A Tertiary Care Observational Study</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proofErr w:type="spellStart"/>
      <w:r w:rsidR="00BD0685" w:rsidRPr="00BD0685">
        <w:rPr>
          <w:rFonts w:cstheme="majorBidi"/>
          <w:b/>
          <w:bCs/>
          <w:color w:val="074F6A" w:themeColor="accent4" w:themeShade="80"/>
          <w:sz w:val="24"/>
          <w:szCs w:val="24"/>
          <w:lang w:val="en-GB"/>
        </w:rPr>
        <w:t>Irtaza</w:t>
      </w:r>
      <w:proofErr w:type="spellEnd"/>
      <w:r w:rsidR="00BD0685" w:rsidRPr="00BD0685">
        <w:rPr>
          <w:rFonts w:cstheme="majorBidi"/>
          <w:b/>
          <w:bCs/>
          <w:color w:val="074F6A" w:themeColor="accent4" w:themeShade="80"/>
          <w:sz w:val="24"/>
          <w:szCs w:val="24"/>
          <w:lang w:val="en-GB"/>
        </w:rPr>
        <w:t xml:space="preserve"> </w:t>
      </w:r>
      <w:proofErr w:type="spellStart"/>
      <w:r w:rsidR="00BD0685" w:rsidRPr="00BD0685">
        <w:rPr>
          <w:rFonts w:cstheme="majorBidi"/>
          <w:b/>
          <w:bCs/>
          <w:color w:val="074F6A" w:themeColor="accent4" w:themeShade="80"/>
          <w:sz w:val="24"/>
          <w:szCs w:val="24"/>
          <w:lang w:val="en-GB"/>
        </w:rPr>
        <w:t>Rubab</w:t>
      </w:r>
      <w:proofErr w:type="spellEnd"/>
      <w:r w:rsidR="00BD0685" w:rsidRPr="00BD0685">
        <w:rPr>
          <w:rFonts w:cstheme="majorBidi"/>
          <w:b/>
          <w:bCs/>
          <w:color w:val="074F6A" w:themeColor="accent4" w:themeShade="80"/>
          <w:sz w:val="24"/>
          <w:szCs w:val="24"/>
          <w:lang w:val="en-GB"/>
        </w:rPr>
        <w:t xml:space="preserve"> </w:t>
      </w:r>
      <w:r w:rsidRPr="007C1877">
        <w:rPr>
          <w:rFonts w:cstheme="majorBidi"/>
          <w:b/>
          <w:bCs/>
          <w:color w:val="074F6A" w:themeColor="accent4" w:themeShade="80"/>
          <w:sz w:val="24"/>
          <w:szCs w:val="24"/>
        </w:rPr>
        <w:t>¹</w:t>
      </w:r>
    </w:p>
    <w:p w:rsidR="00607EA1" w:rsidRPr="00BB7230" w:rsidRDefault="00BD0685" w:rsidP="004175AC">
      <w:pPr>
        <w:pStyle w:val="Body"/>
        <w:spacing w:before="75" w:after="75" w:line="240" w:lineRule="auto"/>
        <w:rPr>
          <w:rFonts w:cstheme="majorBidi"/>
          <w:color w:val="000000" w:themeColor="text1"/>
          <w:sz w:val="18"/>
          <w:szCs w:val="16"/>
        </w:rPr>
      </w:pPr>
      <w:r>
        <w:rPr>
          <w:rFonts w:cstheme="majorBidi"/>
          <w:color w:val="000000" w:themeColor="text1"/>
          <w:sz w:val="18"/>
          <w:szCs w:val="16"/>
        </w:rPr>
        <w:t>¹University of South Asia</w:t>
      </w:r>
      <w:r w:rsidR="007C1877" w:rsidRPr="007C1877">
        <w:rPr>
          <w:rFonts w:cstheme="majorBidi"/>
          <w:color w:val="000000" w:themeColor="text1"/>
          <w:sz w:val="18"/>
          <w:szCs w:val="16"/>
        </w:rPr>
        <w:t>,</w:t>
      </w:r>
      <w:r>
        <w:rPr>
          <w:rFonts w:cstheme="majorBidi"/>
          <w:color w:val="000000" w:themeColor="text1"/>
          <w:sz w:val="18"/>
          <w:szCs w:val="16"/>
        </w:rPr>
        <w:t xml:space="preserve"> Lahore</w:t>
      </w:r>
      <w:r w:rsidR="007C1877" w:rsidRPr="007C1877">
        <w:rPr>
          <w:rFonts w:cstheme="majorBidi"/>
          <w:color w:val="000000" w:themeColor="text1"/>
          <w:sz w:val="18"/>
          <w:szCs w:val="16"/>
        </w:rPr>
        <w:t xml:space="preserve">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BD0685">
        <w:rPr>
          <w:rFonts w:cstheme="majorBidi"/>
          <w:b/>
          <w:bCs/>
          <w:color w:val="074F6A" w:themeColor="accent4" w:themeShade="80"/>
          <w:sz w:val="18"/>
          <w:szCs w:val="16"/>
          <w:lang w:val="pt-BR"/>
        </w:rPr>
        <w:t xml:space="preserve">Dr.Irtaza Rubab </w:t>
      </w:r>
      <w:r w:rsidR="007C1877" w:rsidRPr="007C1877">
        <w:rPr>
          <w:rFonts w:cstheme="majorBidi"/>
          <w:b/>
          <w:bCs/>
          <w:color w:val="074F6A" w:themeColor="accent4" w:themeShade="80"/>
          <w:sz w:val="18"/>
          <w:szCs w:val="16"/>
          <w:lang w:val="pt-BR"/>
        </w:rPr>
        <w:t xml:space="preserve">, </w:t>
      </w:r>
      <w:r w:rsidR="00BD0685" w:rsidRPr="00BD0685">
        <w:rPr>
          <w:rFonts w:cstheme="majorBidi"/>
          <w:b/>
          <w:bCs/>
          <w:color w:val="074F6A" w:themeColor="accent4" w:themeShade="80"/>
          <w:sz w:val="18"/>
          <w:szCs w:val="16"/>
          <w:lang w:val="en-GB"/>
        </w:rPr>
        <w:t>mianhumzah08@gmail.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January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March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BD0685">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IR; Design: IR; Data Collection: IR; Analysis: IR; Drafting: IR</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BD0685">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Service hospital </w:t>
      </w:r>
      <w:proofErr w:type="spellStart"/>
      <w:r w:rsidR="00BD0685">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Lahaore</w:t>
      </w:r>
      <w:proofErr w:type="spellEnd"/>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BD0685">
      <w:pPr>
        <w:pStyle w:val="Heading1"/>
      </w:pPr>
      <w:r w:rsidRPr="00BB7230">
        <w:t>Abstract</w:t>
      </w:r>
    </w:p>
    <w:p w:rsidR="00BD0685" w:rsidRPr="00BD0685" w:rsidRDefault="00BD0685" w:rsidP="00BD0685">
      <w:pPr>
        <w:pStyle w:val="Body"/>
      </w:pPr>
      <w:r w:rsidRPr="00BD0685">
        <w:t xml:space="preserve">Background: Post-stroke dysphagia is a common complication of acute stroke and is associated with aspiration, pneumonia, prolonged hospitalization, disability, and mortality. Objective: To determine the frequency, clinical outcomes, and predictors of poor prognosis among acute stroke patients with dysphagia at Services Hospital Lahore. Methods: This cross-sectional observational study included 124 acute stroke patients categorized into dysphagia-positive and dysphagia-negative groups. Baseline characteristics, stroke subtype, NIHSS score, comorbidities, dysphagia screening, pneumonia, ICU admission, length of stay, discharge </w:t>
      </w:r>
      <w:proofErr w:type="spellStart"/>
      <w:r w:rsidRPr="00BD0685">
        <w:t>mRS</w:t>
      </w:r>
      <w:proofErr w:type="spellEnd"/>
      <w:r w:rsidRPr="00BD0685">
        <w:t xml:space="preserve">, and mortality were analyzed. Poor functional outcome was defined as </w:t>
      </w:r>
      <w:proofErr w:type="spellStart"/>
      <w:proofErr w:type="gramStart"/>
      <w:r w:rsidRPr="00BD0685">
        <w:t>mRS</w:t>
      </w:r>
      <w:proofErr w:type="spellEnd"/>
      <w:proofErr w:type="gramEnd"/>
      <w:r w:rsidRPr="00BD0685">
        <w:t xml:space="preserve"> ≥3 at discharge. Results: Dysphagia was present in 53 patients (42.7%). Dysphagia-positive patients had longer hospital stay than dysphagia-negative patients (7.1 ± 3.3 </w:t>
      </w:r>
      <w:proofErr w:type="spellStart"/>
      <w:r w:rsidRPr="00BD0685">
        <w:t>vs</w:t>
      </w:r>
      <w:proofErr w:type="spellEnd"/>
      <w:r w:rsidRPr="00BD0685">
        <w:t xml:space="preserve"> 3.8 ± 1.7 days), higher pneumonia frequency (24.5% </w:t>
      </w:r>
      <w:proofErr w:type="spellStart"/>
      <w:r w:rsidRPr="00BD0685">
        <w:t>vs</w:t>
      </w:r>
      <w:proofErr w:type="spellEnd"/>
      <w:r w:rsidRPr="00BD0685">
        <w:t xml:space="preserve"> 5.6%), greater poor functional outcome (62.3% </w:t>
      </w:r>
      <w:proofErr w:type="spellStart"/>
      <w:r w:rsidRPr="00BD0685">
        <w:t>vs</w:t>
      </w:r>
      <w:proofErr w:type="spellEnd"/>
      <w:r w:rsidRPr="00BD0685">
        <w:t xml:space="preserve"> 26.8%), and higher mortality (11.3% </w:t>
      </w:r>
      <w:proofErr w:type="spellStart"/>
      <w:r w:rsidRPr="00BD0685">
        <w:t>vs</w:t>
      </w:r>
      <w:proofErr w:type="spellEnd"/>
      <w:r w:rsidRPr="00BD0685">
        <w:t xml:space="preserve"> 2.8%). Dysphagia independently predicted poor outcome (OR 4.5, 95% CI 2.0–10.1; p&lt;0.001). Pneumonia, NIHSS ≥15, hemorrhagic stroke, atrial fibrillation, previous stroke, and delayed screening were also significant predictors. Conclusion: Post-stroke dysphagia was frequent and strongly </w:t>
      </w:r>
      <w:proofErr w:type="gramStart"/>
      <w:r w:rsidRPr="00BD0685">
        <w:t>associated</w:t>
      </w:r>
      <w:proofErr w:type="gramEnd"/>
      <w:r w:rsidRPr="00BD0685">
        <w:t xml:space="preserve"> with adverse inpatient outcomes. Early screening and swallowing intervention may improve stroke care outcomes. Keywords: Stroke, dysphagia, pneumonia, NIHSS, </w:t>
      </w:r>
      <w:proofErr w:type="spellStart"/>
      <w:r w:rsidRPr="00BD0685">
        <w:t>mRS</w:t>
      </w:r>
      <w:proofErr w:type="spellEnd"/>
      <w:r w:rsidRPr="00BD0685">
        <w:t xml:space="preserve">, Services Hospital Lahore. </w:t>
      </w:r>
    </w:p>
    <w:p w:rsidR="00BD0685" w:rsidRPr="00BD0685" w:rsidRDefault="00BD0685" w:rsidP="00BD0685">
      <w:pPr>
        <w:pStyle w:val="Body"/>
      </w:pPr>
    </w:p>
    <w:p w:rsidR="00BD0685" w:rsidRPr="00BD0685" w:rsidRDefault="00BD0685" w:rsidP="00BD0685">
      <w:pPr>
        <w:pStyle w:val="Heading1"/>
      </w:pPr>
      <w:r w:rsidRPr="00BD0685">
        <w:t>Introduction</w:t>
      </w:r>
    </w:p>
    <w:p w:rsidR="00BD0685" w:rsidRPr="00BD0685" w:rsidRDefault="00BD0685" w:rsidP="00BD0685">
      <w:pPr>
        <w:pStyle w:val="Body"/>
      </w:pPr>
      <w:r w:rsidRPr="00BD0685">
        <w:t>Post-stroke dysphagia is a frequent and clinically important complication of acute stroke, affecting swallowing safety, nutritional adequacy, airway protection, and recovery trajectory. It may occur after both ischemic and hemorrhagic stroke and is particularly concerning because impaired swallowing increases the risk of aspiration, pneumonia, prolonged hospitalization, disability, and mortality. International evidence supports early dysphagia screening in acute stroke care, yet the accuracy, timing, and clinical implementation of screening protocols vary across hospital systems (1</w:t>
      </w:r>
      <w:proofErr w:type="gramStart"/>
      <w:r w:rsidRPr="00BD0685">
        <w:t>,2</w:t>
      </w:r>
      <w:proofErr w:type="gramEnd"/>
      <w:r w:rsidRPr="00BD0685">
        <w:t>). Contemporary guidelines emphasize structured assessment and timely intervention because dysphagia is not only a symptom of neurological injury but also a modifiable contributor to adverse inpatient outcomes (3</w:t>
      </w:r>
      <w:proofErr w:type="gramStart"/>
      <w:r w:rsidRPr="00BD0685">
        <w:t>,4</w:t>
      </w:r>
      <w:proofErr w:type="gramEnd"/>
      <w:r w:rsidRPr="00BD0685">
        <w:t>).</w:t>
      </w:r>
    </w:p>
    <w:p w:rsidR="00BD0685" w:rsidRPr="00BD0685" w:rsidRDefault="00BD0685" w:rsidP="00BD0685">
      <w:pPr>
        <w:pStyle w:val="Body"/>
      </w:pPr>
      <w:r w:rsidRPr="00BD0685">
        <w:t xml:space="preserve">The population of interest in this study comprises adult patients admitted with acute stroke at Services Hospital Lahore, a tertiary care teaching hospital in Pakistan. In this setting, dysphagia screening is especially relevant because acute stroke patients often present with multiple prognostic risk factors, including older age, severe neurological deficit, hypertension, diabetes mellitus, atrial fibrillation, dysarthria, previous stroke, and hemorrhagic stroke subtype. The available study data show that 53 of 124 patients were dysphagia-positive, giving a dysphagia frequency of 42.7%, while 71 patients were dysphagia-negative; dysphagia was more frequent among hemorrhagic stroke patients than ischemic stroke patients. Clinically important adverse outcomes were also more common in the dysphagia group, including pneumonia, prolonged hospitalization, poor discharge functional status, and in-hospital </w:t>
      </w:r>
      <w:proofErr w:type="gramStart"/>
      <w:r w:rsidRPr="00BD0685">
        <w:t>mortality .</w:t>
      </w:r>
      <w:proofErr w:type="gramEnd"/>
    </w:p>
    <w:p w:rsidR="00BD0685" w:rsidRPr="00BD0685" w:rsidRDefault="00BD0685" w:rsidP="00BD0685">
      <w:pPr>
        <w:pStyle w:val="Body"/>
      </w:pPr>
      <w:r w:rsidRPr="00BD0685">
        <w:t>Previous research has demonstrated that dysphagia screening after stroke may reduce pneumonia risk and improve care pathways when performed early and consistently (5</w:t>
      </w:r>
      <w:proofErr w:type="gramStart"/>
      <w:r w:rsidRPr="00BD0685">
        <w:t>,6</w:t>
      </w:r>
      <w:proofErr w:type="gramEnd"/>
      <w:r w:rsidRPr="00BD0685">
        <w:t xml:space="preserve">). However, much of the available evidence comes from </w:t>
      </w:r>
      <w:r w:rsidRPr="00BD0685">
        <w:lastRenderedPageBreak/>
        <w:t>high-resource health systems where dedicated stroke units, speech and language therapy services, instrumental swallowing assessment, and standardized multidisciplinary protocols are more consistently available. In low- and middle-income settings, including Pakistan, local evidence remains limited regarding how post-stroke dysphagia relates to functional outcome, pneumonia, antibiotic use, ICU admission, mortality, and length of stay within routine tertiary-care practice. This creates a practical knowledge gap: clinicians recognize dysphagia as clinically important, but locally generated data are needed to justify systematic early screening and swallowing intervention protocols in acute stroke units.</w:t>
      </w:r>
      <w:bookmarkStart w:id="0" w:name="_GoBack"/>
      <w:bookmarkEnd w:id="0"/>
    </w:p>
    <w:p w:rsidR="00BD0685" w:rsidRPr="00BD0685" w:rsidRDefault="00BD0685" w:rsidP="00BD0685">
      <w:pPr>
        <w:pStyle w:val="Body"/>
      </w:pPr>
      <w:r w:rsidRPr="00BD0685">
        <w:t xml:space="preserve">The comparison of interest is between acute stroke patients with dysphagia and those without dysphagia, while the main outcomes include poor functional outcome at discharge, pneumonia, </w:t>
      </w:r>
      <w:proofErr w:type="gramStart"/>
      <w:r w:rsidRPr="00BD0685">
        <w:t>length</w:t>
      </w:r>
      <w:proofErr w:type="gramEnd"/>
      <w:r w:rsidRPr="00BD0685">
        <w:t xml:space="preserve"> of hospital stay, ICU admission, mechanical ventilation, enteral feeding, and in-hospital mortality. This PICO framework allows the study to evaluate whether dysphagia is merely associated with stroke severity or whether it functions as a clinically meaningful predictor of poor prognosis after adjustment for relevant factors such as stroke subtype, NIHSS severity, atrial fibrillation, previous stroke, pneumonia, delayed screening, stroke-unit admission, and early swallowing intervention.</w:t>
      </w:r>
    </w:p>
    <w:p w:rsidR="00BD0685" w:rsidRPr="00BD0685" w:rsidRDefault="00BD0685" w:rsidP="00BD0685">
      <w:pPr>
        <w:pStyle w:val="Body"/>
      </w:pPr>
      <w:r w:rsidRPr="00BD0685">
        <w:t>Therefore, this study aimed to determine the frequency, clinical correlates, and in-hospital outcomes of post-stroke dysphagia among acute stroke patients admitted to Services Hospital Lahore and to identify predictors of poor prognosis. The study hypothesis was that post-stroke dysphagia is significantly associated with increased pneumonia, prolonged hospitalization, poor functional outcome at discharge, and higher in-hospital mortality among acute stroke patients in a tertiary care setting.</w:t>
      </w:r>
    </w:p>
    <w:p w:rsidR="00BD0685" w:rsidRPr="00BD0685" w:rsidRDefault="00BD0685" w:rsidP="00BD0685">
      <w:pPr>
        <w:pStyle w:val="Body"/>
      </w:pPr>
      <w:r w:rsidRPr="00BD0685">
        <w:br w:type="page"/>
      </w:r>
    </w:p>
    <w:p w:rsidR="00BD0685" w:rsidRPr="00BD0685" w:rsidRDefault="00240BFA" w:rsidP="00240BFA">
      <w:pPr>
        <w:pStyle w:val="Heading1"/>
      </w:pPr>
      <w:r>
        <w:lastRenderedPageBreak/>
        <w:t xml:space="preserve">Material and </w:t>
      </w:r>
      <w:r w:rsidR="00BD0685" w:rsidRPr="00BD0685">
        <w:t>methods</w:t>
      </w:r>
    </w:p>
    <w:p w:rsidR="00BD0685" w:rsidRPr="00BD0685" w:rsidRDefault="00BD0685" w:rsidP="00BD0685">
      <w:pPr>
        <w:pStyle w:val="Body"/>
      </w:pPr>
      <w:r w:rsidRPr="00BD0685">
        <w:t xml:space="preserve">A cross-sectional observational study was conducted at the Department of Neurology and Stroke Unit, Services Hospital Lahore, Pakistan, to evaluate dysphagia screening, clinical predictors, and in-hospital outcomes among patients admitted with acute stroke. Adult patients with </w:t>
      </w:r>
      <w:proofErr w:type="spellStart"/>
      <w:r w:rsidRPr="00BD0685">
        <w:t>radiologically</w:t>
      </w:r>
      <w:proofErr w:type="spellEnd"/>
      <w:r w:rsidRPr="00BD0685">
        <w:t xml:space="preserve"> or clinically confirmed ischemic or hemorrhagic stroke were included, and participants were categorized into dysphagia-positive and dysphagia-negative groups according to bedside swallowing assessment and/or </w:t>
      </w:r>
      <w:proofErr w:type="spellStart"/>
      <w:r w:rsidRPr="00BD0685">
        <w:t>videofluoroscopic</w:t>
      </w:r>
      <w:proofErr w:type="spellEnd"/>
      <w:r w:rsidRPr="00BD0685">
        <w:t xml:space="preserve"> confirmation where clinically indicated. Patients with incomplete inpatient outcome records, non-stroke neurological disease causing swallowing impairment, or pre-existing severe dysphagia unrelated to the index stroke were excluded.</w:t>
      </w:r>
    </w:p>
    <w:p w:rsidR="00BD0685" w:rsidRPr="00BD0685" w:rsidRDefault="00BD0685" w:rsidP="00BD0685">
      <w:pPr>
        <w:pStyle w:val="Body"/>
      </w:pPr>
      <w:r w:rsidRPr="00BD0685">
        <w:t xml:space="preserve">A total of 124 patients were included, comprising 53 dysphagia-positive patients and 71 dysphagia-negative patients. Baseline demographic and clinical variables included age, sex, stroke subtype, </w:t>
      </w:r>
      <w:proofErr w:type="gramStart"/>
      <w:r w:rsidRPr="00BD0685">
        <w:t>NIHSS</w:t>
      </w:r>
      <w:proofErr w:type="gramEnd"/>
      <w:r w:rsidRPr="00BD0685">
        <w:t xml:space="preserve"> score at admission, hypertension, diabetes mellitus, atrial fibrillation, previous stroke history, smoking status, dysarthria, stroke-unit admission, and timing of dysphagia screening. Dysphagia screening within 24 hours was recorded as early screening, while screening after 24 hours was classified as delayed screening. Clinical outcome variables included aspiration risk, enteral tube feeding, empiric antibiotic use, pneumonia during hospitalization, ICU admission, mechanical ventilation, recurrent stroke, prolonged hospitalization of more than 7 days, in-hospital mortality, discharge modified Rankin Scale score, and poor functional outcome, defined as </w:t>
      </w:r>
      <w:proofErr w:type="spellStart"/>
      <w:r w:rsidRPr="00BD0685">
        <w:t>mRS</w:t>
      </w:r>
      <w:proofErr w:type="spellEnd"/>
      <w:r w:rsidRPr="00BD0685">
        <w:t xml:space="preserve"> ≥3 at discharge .</w:t>
      </w:r>
    </w:p>
    <w:p w:rsidR="00BD0685" w:rsidRPr="00BD0685" w:rsidRDefault="00BD0685" w:rsidP="00BD0685">
      <w:pPr>
        <w:pStyle w:val="Body"/>
      </w:pPr>
      <w:r w:rsidRPr="00BD0685">
        <w:t xml:space="preserve">Data were collected using standardized clinical records and inpatient outcome documentation. Stroke severity was assessed using the NIHSS, and functional outcome was assessed using the modified Rankin Scale at discharge. Dysphagia was assessed through bedside swallowing screening, with </w:t>
      </w:r>
      <w:proofErr w:type="spellStart"/>
      <w:r w:rsidRPr="00BD0685">
        <w:t>videofluoroscopic</w:t>
      </w:r>
      <w:proofErr w:type="spellEnd"/>
      <w:r w:rsidRPr="00BD0685">
        <w:t xml:space="preserve"> confirmation documented in selected patients when available. Early swallowing intervention was recorded when dietary modification, enteral feeding decision-making, swallowing therapy, or aspiration-prevention measures were initiated after dysphagia identification. To reduce information bias, clinical definitions were applied consistently across all participants, and outcomes were recorded using objective inpatient endpoints.</w:t>
      </w:r>
    </w:p>
    <w:p w:rsidR="00BD0685" w:rsidRPr="00BD0685" w:rsidRDefault="00BD0685" w:rsidP="00BD0685">
      <w:pPr>
        <w:pStyle w:val="Body"/>
      </w:pPr>
      <w:r w:rsidRPr="00BD0685">
        <w:t>Statistical analysis was performed using descriptive and inferential methods. Continuous variables were summarized as mean ± standard deviation or median with interquartile range according to distribution, while categorical variables were reported as frequencies and percentages. Between-group comparisons were performed for dysphagia-positive and dysphagia-negative patients. Chi-square or Fisher’s exact test was used for categorical variables, and independent-samples t-test or Mann–Whitney U test was used for continuous variables where appropriate. Logistic regression analysis was used to identify predictors of poor clinical outcome, with odds ratios, 95% confidence intervals, and p-values reported. Variables of clinical relevance, including dysphagia presence, atrial fibrillation, previous stroke, hypertension, hemorrhagic stroke subtype, pneumonia, NIHSS ≥15, delayed dysphagia screening, stroke-unit admission, and early swallowing intervention, were evaluated as candidate predictors.</w:t>
      </w:r>
    </w:p>
    <w:p w:rsidR="00BD0685" w:rsidRPr="00BD0685" w:rsidRDefault="00BD0685" w:rsidP="00BD0685">
      <w:pPr>
        <w:pStyle w:val="Body"/>
      </w:pPr>
      <w:r w:rsidRPr="00BD0685">
        <w:t xml:space="preserve">Potential confounding was addressed by examining clinically relevant covariates related to stroke severity, vascular risk profile, stroke subtype, infection, and care pathway factors. A p-value of &lt;0.05 was considered statistically significant. Data integrity was maintained through cross-checking of demographic, clinical, screening, and outcome variables before analysis. Ethical approval was obtained according to institutional requirements, and patient confidentiality was maintained by using </w:t>
      </w:r>
      <w:proofErr w:type="spellStart"/>
      <w:r w:rsidRPr="00BD0685">
        <w:t>anonymized</w:t>
      </w:r>
      <w:proofErr w:type="spellEnd"/>
      <w:r w:rsidRPr="00BD0685">
        <w:t xml:space="preserve"> study data.</w:t>
      </w:r>
    </w:p>
    <w:p w:rsidR="00BD0685" w:rsidRPr="00BD0685" w:rsidRDefault="00BD0685" w:rsidP="00BD0685">
      <w:pPr>
        <w:pStyle w:val="Heading1"/>
      </w:pPr>
      <w:r w:rsidRPr="00BD0685">
        <w:t>Results</w:t>
      </w:r>
    </w:p>
    <w:p w:rsidR="00BD0685" w:rsidRPr="00BD0685" w:rsidRDefault="00BD0685" w:rsidP="00BD0685">
      <w:pPr>
        <w:pStyle w:val="Body"/>
      </w:pPr>
      <w:r w:rsidRPr="00BD0685">
        <w:t xml:space="preserve">A total of 124 patients with acute stroke were included in the study, comprising 53 (42.7%) dysphagia-positive patients and 71 (57.3%) dysphagia-negative patients. The mean age of the study population was 66.8 ± 11.4 years, and males constituted 59.7% of participants. Ischemic stroke was the predominant subtype, accounting for 71.0% of cases, while hemorrhagic stroke represented 29.0%. The median NIHSS score at admission was 11 (IQR: 7–16). Hypertension was the most common comorbidity (66.1%), followed by diabetes mellitus (31.5%), smoking history (33.1%), atrial fibrillation (23.4%), and previous stroke history (21.8%). Dysarthria at presentation was observed in 37.1% of patients, while 73.4% were admitted to the stroke unit. Dysphagia screening within 24 hours was performed in 79.0% of </w:t>
      </w:r>
      <w:proofErr w:type="gramStart"/>
      <w:r w:rsidRPr="00BD0685">
        <w:t>patients .</w:t>
      </w:r>
      <w:proofErr w:type="gramEnd"/>
    </w:p>
    <w:p w:rsidR="00BD0685" w:rsidRPr="00BD0685" w:rsidRDefault="00BD0685" w:rsidP="00BD0685">
      <w:pPr>
        <w:pStyle w:val="Caption"/>
      </w:pPr>
      <w:r w:rsidRPr="00BD0685">
        <w:t>Table 1. Baseline Demographic and Clinical Characteristics of Acute Stroke Patients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140"/>
        <w:gridCol w:w="1090"/>
        <w:gridCol w:w="2051"/>
        <w:gridCol w:w="2121"/>
        <w:gridCol w:w="625"/>
      </w:tblGrid>
      <w:tr w:rsidR="00BD0685" w:rsidRPr="00BD0685" w:rsidTr="00BD0685">
        <w:trPr>
          <w:tblHeader/>
          <w:tblCellSpacing w:w="0" w:type="dxa"/>
        </w:trPr>
        <w:tc>
          <w:tcPr>
            <w:tcW w:w="1739"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lastRenderedPageBreak/>
              <w:t>Variable</w:t>
            </w:r>
          </w:p>
        </w:tc>
        <w:tc>
          <w:tcPr>
            <w:tcW w:w="604"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Total (n=124)</w:t>
            </w:r>
          </w:p>
        </w:tc>
        <w:tc>
          <w:tcPr>
            <w:tcW w:w="1136"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Positive (n=53)</w:t>
            </w:r>
          </w:p>
        </w:tc>
        <w:tc>
          <w:tcPr>
            <w:tcW w:w="1175"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Negative (n=71)</w:t>
            </w:r>
          </w:p>
        </w:tc>
        <w:tc>
          <w:tcPr>
            <w:tcW w:w="347"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p-value</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Age (years), mean ± SD</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66.8 ± 11.4</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68.9 ± 10.7</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65.2 ± 11.8</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0.081</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Male sex,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74 (59.7)</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31 (58.5)</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43 (60.6)</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0.812</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Female sex,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50 (40.3)</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22 (41.5)</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28 (39.4)</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0.812</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Ischemic stroke,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88 (71.0)</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32 (60.4)</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56 (78.9)</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0.026</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Hemorrhagic stroke,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36 (29.0)</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21 (39.6)</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15 (21.1)</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0.026</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NIHSS score at admission, median (IQR)</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11 (7–16)</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15 (10–18)</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8 (5–12)</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Hypertension,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82 (66.1)</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39 (73.6)</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43 (60.6)</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0.132</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Diabetes mellitus,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39 (31.5)</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19 (35.8)</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20 (28.2)</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0.366</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Atrial fibrillation,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29 (23.4)</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17 (32.1)</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12 (16.9)</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0.047</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Previous stroke history,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27 (21.8)</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15 (28.3)</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12 (16.9)</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0.129</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Smoking history,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41 (33.1)</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19 (35.8)</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22 (31.0)</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0.575</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Dysarthria at presentation,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46 (37.1)</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28 (52.8)</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18 (25.4)</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0.002</w:t>
            </w:r>
          </w:p>
        </w:tc>
      </w:tr>
      <w:tr w:rsidR="00BD0685" w:rsidRPr="00BD0685" w:rsidTr="00BD0685">
        <w:trPr>
          <w:tblCellSpacing w:w="0" w:type="dxa"/>
        </w:trPr>
        <w:tc>
          <w:tcPr>
            <w:tcW w:w="1739"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Admission to stroke unit, n (%)</w:t>
            </w:r>
          </w:p>
        </w:tc>
        <w:tc>
          <w:tcPr>
            <w:tcW w:w="60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91 (73.4)</w:t>
            </w:r>
          </w:p>
        </w:tc>
        <w:tc>
          <w:tcPr>
            <w:tcW w:w="113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35 (66.0)</w:t>
            </w:r>
          </w:p>
        </w:tc>
        <w:tc>
          <w:tcPr>
            <w:tcW w:w="1175"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56 (78.9)</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0.108</w:t>
            </w:r>
          </w:p>
        </w:tc>
      </w:tr>
      <w:tr w:rsidR="00BD0685" w:rsidRPr="00BD0685" w:rsidTr="00BD0685">
        <w:trPr>
          <w:tblCellSpacing w:w="0" w:type="dxa"/>
        </w:trPr>
        <w:tc>
          <w:tcPr>
            <w:tcW w:w="1739"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screening within 24 h, n (%)</w:t>
            </w:r>
          </w:p>
        </w:tc>
        <w:tc>
          <w:tcPr>
            <w:tcW w:w="604"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98 (79.0)</w:t>
            </w:r>
          </w:p>
        </w:tc>
        <w:tc>
          <w:tcPr>
            <w:tcW w:w="1136"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37 (69.8)</w:t>
            </w:r>
          </w:p>
        </w:tc>
        <w:tc>
          <w:tcPr>
            <w:tcW w:w="1175"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61 (85.9)</w:t>
            </w:r>
          </w:p>
        </w:tc>
        <w:tc>
          <w:tcPr>
            <w:tcW w:w="347"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0.029</w:t>
            </w:r>
          </w:p>
        </w:tc>
      </w:tr>
    </w:tbl>
    <w:p w:rsidR="00BD0685" w:rsidRPr="00BD0685" w:rsidRDefault="00BD0685" w:rsidP="00BD0685">
      <w:pPr>
        <w:pStyle w:val="Body"/>
      </w:pPr>
      <w:r w:rsidRPr="00BD0685">
        <w:t xml:space="preserve">Patients with dysphagia had significantly higher admission NIHSS scores, greater prevalence of hemorrhagic stroke, atrial fibrillation, and dysarthria at presentation compared with dysphagia-negative patients. Early dysphagia screening within 24 hours was less frequent among dysphagia-positive patients (69.8% </w:t>
      </w:r>
      <w:proofErr w:type="spellStart"/>
      <w:r w:rsidRPr="00BD0685">
        <w:t>vs</w:t>
      </w:r>
      <w:proofErr w:type="spellEnd"/>
      <w:r w:rsidRPr="00BD0685">
        <w:t xml:space="preserve"> 85.9%, p=0.029).</w:t>
      </w:r>
    </w:p>
    <w:p w:rsidR="00BD0685" w:rsidRPr="00BD0685" w:rsidRDefault="00BD0685" w:rsidP="00BD0685">
      <w:pPr>
        <w:pStyle w:val="Body"/>
      </w:pPr>
      <w:r w:rsidRPr="00BD0685">
        <w:t>Clinical comorbidities and inpatient variables are presented in Table 2. Aspiration risk during screening was identified in 35.5% of patients, while 16.9% required enteral tube feeding. Pneumonia developed in 13.7% of patients during hospitalization, ICU admission occurred in 15.3%, and mechanical ventilation was required in 8.9%. Moderate-to-severe disability at discharge (</w:t>
      </w:r>
      <w:proofErr w:type="spellStart"/>
      <w:proofErr w:type="gramStart"/>
      <w:r w:rsidRPr="00BD0685">
        <w:t>mRS</w:t>
      </w:r>
      <w:proofErr w:type="spellEnd"/>
      <w:proofErr w:type="gramEnd"/>
      <w:r w:rsidRPr="00BD0685">
        <w:t xml:space="preserve"> ≥3) was observed in 41.9% of the overall cohort. Dysphagia prevalence was substantially higher among hemorrhagic stroke patients than ischemic stroke patients (58.3% </w:t>
      </w:r>
      <w:proofErr w:type="spellStart"/>
      <w:r w:rsidRPr="00BD0685">
        <w:t>vs</w:t>
      </w:r>
      <w:proofErr w:type="spellEnd"/>
      <w:r w:rsidRPr="00BD0685">
        <w:t xml:space="preserve"> 36.4%). </w:t>
      </w:r>
      <w:proofErr w:type="spellStart"/>
      <w:r w:rsidRPr="00BD0685">
        <w:t>Videofluoroscopic</w:t>
      </w:r>
      <w:proofErr w:type="spellEnd"/>
      <w:r w:rsidRPr="00BD0685">
        <w:t xml:space="preserve"> confirmation of dysphagia was documented in 33.9% of </w:t>
      </w:r>
      <w:proofErr w:type="gramStart"/>
      <w:r w:rsidRPr="00BD0685">
        <w:t>patients .</w:t>
      </w:r>
      <w:proofErr w:type="gramEnd"/>
    </w:p>
    <w:p w:rsidR="00BD0685" w:rsidRPr="00BD0685" w:rsidRDefault="00BD0685" w:rsidP="00BD0685">
      <w:pPr>
        <w:pStyle w:val="Caption"/>
      </w:pPr>
      <w:r w:rsidRPr="00BD0685">
        <w:t>Table 2. Clinical Comorbidities and Hospitalization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91"/>
        <w:gridCol w:w="1457"/>
        <w:gridCol w:w="979"/>
      </w:tblGrid>
      <w:tr w:rsidR="00BD0685" w:rsidRPr="00BD0685" w:rsidTr="00BD0685">
        <w:trPr>
          <w:tblHeader/>
          <w:tblCellSpacing w:w="0" w:type="dxa"/>
        </w:trPr>
        <w:tc>
          <w:tcPr>
            <w:tcW w:w="3650"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Variable</w:t>
            </w:r>
          </w:p>
        </w:tc>
        <w:tc>
          <w:tcPr>
            <w:tcW w:w="807"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Total n (%)</w:t>
            </w:r>
          </w:p>
        </w:tc>
        <w:tc>
          <w:tcPr>
            <w:tcW w:w="542"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p-value</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Aspiration risk identified on screening</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44 (35.5)</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Enteral tube feeding required</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21 (16.9)</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Empiric antibiotic administration</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12 (9.7)</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0.011</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Pneumonia during hospitalization</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17 (13.7)</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ICU admission</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19 (15.3)</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0.004</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Mechanical ventilation</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11 (8.9)</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0.006</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Moderate-to-severe disability at discharge (</w:t>
            </w:r>
            <w:proofErr w:type="spellStart"/>
            <w:r w:rsidRPr="00BD0685">
              <w:rPr>
                <w:b/>
                <w:color w:val="000000"/>
                <w:sz w:val="16"/>
              </w:rPr>
              <w:t>mRS</w:t>
            </w:r>
            <w:proofErr w:type="spellEnd"/>
            <w:r w:rsidRPr="00BD0685">
              <w:rPr>
                <w:b/>
                <w:color w:val="000000"/>
                <w:sz w:val="16"/>
              </w:rPr>
              <w:t xml:space="preserve"> ≥3)</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52 (41.9)</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Recurrent stroke during admission</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6 (4.8)</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0.287</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In-hospital mortality</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8 (6.5)</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0.018</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Prolonged hospitalization (&gt;7 days)</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37 (29.8)</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among hemorrhagic stroke patients</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21 (58.3)</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0.014</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among ischemic stroke patients</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32 (36.4)</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0.026</w:t>
            </w:r>
          </w:p>
        </w:tc>
      </w:tr>
      <w:tr w:rsidR="00BD0685" w:rsidRPr="00BD0685" w:rsidTr="00BD0685">
        <w:trPr>
          <w:tblCellSpacing w:w="0" w:type="dxa"/>
        </w:trPr>
        <w:tc>
          <w:tcPr>
            <w:tcW w:w="3650"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Positive bedside swallow screening test</w:t>
            </w:r>
          </w:p>
        </w:tc>
        <w:tc>
          <w:tcPr>
            <w:tcW w:w="80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49 (39.5)</w:t>
            </w:r>
          </w:p>
        </w:tc>
        <w:tc>
          <w:tcPr>
            <w:tcW w:w="54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3650"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b/>
                <w:color w:val="000000"/>
                <w:sz w:val="16"/>
              </w:rPr>
            </w:pPr>
            <w:proofErr w:type="spellStart"/>
            <w:r w:rsidRPr="00BD0685">
              <w:rPr>
                <w:b/>
                <w:color w:val="000000"/>
                <w:sz w:val="16"/>
              </w:rPr>
              <w:t>Videofluoroscopic</w:t>
            </w:r>
            <w:proofErr w:type="spellEnd"/>
            <w:r w:rsidRPr="00BD0685">
              <w:rPr>
                <w:b/>
                <w:color w:val="000000"/>
                <w:sz w:val="16"/>
              </w:rPr>
              <w:t xml:space="preserve"> confirmation of dysphagia</w:t>
            </w:r>
          </w:p>
        </w:tc>
        <w:tc>
          <w:tcPr>
            <w:tcW w:w="807"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42 (33.9)</w:t>
            </w:r>
          </w:p>
        </w:tc>
        <w:tc>
          <w:tcPr>
            <w:tcW w:w="542"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bl>
    <w:p w:rsidR="00BD0685" w:rsidRPr="00BD0685" w:rsidRDefault="00BD0685" w:rsidP="00BD0685">
      <w:pPr>
        <w:pStyle w:val="Body"/>
      </w:pPr>
      <w:r w:rsidRPr="00BD0685">
        <w:t xml:space="preserve">Hospital outcome analysis demonstrated significantly worse outcomes among dysphagia-positive patients. Mean hospital stay was longer in the dysphagia group compared with the non-dysphagia group (7.1 ± 3.3 </w:t>
      </w:r>
      <w:proofErr w:type="spellStart"/>
      <w:r w:rsidRPr="00BD0685">
        <w:t>vs</w:t>
      </w:r>
      <w:proofErr w:type="spellEnd"/>
      <w:r w:rsidRPr="00BD0685">
        <w:t xml:space="preserve"> 3.8 ± 1.7 days, p&lt;0.001). Pneumonia occurred in 24.5% of dysphagia-positive patients versus 5.6% of dysphagia-negative patients. Poor functional outcome at discharge (</w:t>
      </w:r>
      <w:proofErr w:type="spellStart"/>
      <w:proofErr w:type="gramStart"/>
      <w:r w:rsidRPr="00BD0685">
        <w:t>mRS</w:t>
      </w:r>
      <w:proofErr w:type="spellEnd"/>
      <w:proofErr w:type="gramEnd"/>
      <w:r w:rsidRPr="00BD0685">
        <w:t xml:space="preserve"> ≥3) was observed in 62.3% of dysphagia-positive patients compared with 26.8% of dysphagia-negative patients. Similarly, in-hospital mortality was markedly higher among dysphagia-positive patients (11.3% </w:t>
      </w:r>
      <w:proofErr w:type="spellStart"/>
      <w:r w:rsidRPr="00BD0685">
        <w:t>vs</w:t>
      </w:r>
      <w:proofErr w:type="spellEnd"/>
      <w:r w:rsidRPr="00BD0685">
        <w:t xml:space="preserve"> 2.8%</w:t>
      </w:r>
      <w:proofErr w:type="gramStart"/>
      <w:r w:rsidRPr="00BD0685">
        <w:t>) .</w:t>
      </w:r>
      <w:proofErr w:type="gramEnd"/>
    </w:p>
    <w:p w:rsidR="00BD0685" w:rsidRPr="00BD0685" w:rsidRDefault="00BD0685" w:rsidP="00BD0685">
      <w:pPr>
        <w:pStyle w:val="Caption"/>
      </w:pPr>
      <w:r w:rsidRPr="00BD0685">
        <w:t>Table 3. Clinical Outcomes According to Dysphagia Status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873"/>
        <w:gridCol w:w="1858"/>
        <w:gridCol w:w="1917"/>
        <w:gridCol w:w="1758"/>
        <w:gridCol w:w="621"/>
      </w:tblGrid>
      <w:tr w:rsidR="00BD0685" w:rsidRPr="00BD0685" w:rsidTr="00BD0685">
        <w:trPr>
          <w:tblHeader/>
          <w:tblCellSpacing w:w="0" w:type="dxa"/>
        </w:trPr>
        <w:tc>
          <w:tcPr>
            <w:tcW w:w="1591"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Outcome</w:t>
            </w:r>
          </w:p>
        </w:tc>
        <w:tc>
          <w:tcPr>
            <w:tcW w:w="1029"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Positive (n=53)</w:t>
            </w:r>
          </w:p>
        </w:tc>
        <w:tc>
          <w:tcPr>
            <w:tcW w:w="1062"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Negative (n=71)</w:t>
            </w:r>
          </w:p>
        </w:tc>
        <w:tc>
          <w:tcPr>
            <w:tcW w:w="974"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Effect Measure</w:t>
            </w:r>
          </w:p>
        </w:tc>
        <w:tc>
          <w:tcPr>
            <w:tcW w:w="344"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p-value</w:t>
            </w:r>
          </w:p>
        </w:tc>
      </w:tr>
      <w:tr w:rsidR="00BD0685" w:rsidRPr="00BD0685" w:rsidTr="00BD0685">
        <w:trPr>
          <w:tblCellSpacing w:w="0" w:type="dxa"/>
        </w:trPr>
        <w:tc>
          <w:tcPr>
            <w:tcW w:w="159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Length of stay (days), mean ± SD</w:t>
            </w:r>
          </w:p>
        </w:tc>
        <w:tc>
          <w:tcPr>
            <w:tcW w:w="102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7.1 ± 3.3</w:t>
            </w:r>
          </w:p>
        </w:tc>
        <w:tc>
          <w:tcPr>
            <w:tcW w:w="106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3.8 ± 1.7</w:t>
            </w:r>
          </w:p>
        </w:tc>
        <w:tc>
          <w:tcPr>
            <w:tcW w:w="97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Mean difference 3.3 days</w:t>
            </w:r>
          </w:p>
        </w:tc>
        <w:tc>
          <w:tcPr>
            <w:tcW w:w="34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159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Pneumonia during hospitalization, n (%)</w:t>
            </w:r>
          </w:p>
        </w:tc>
        <w:tc>
          <w:tcPr>
            <w:tcW w:w="102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13 (24.5)</w:t>
            </w:r>
          </w:p>
        </w:tc>
        <w:tc>
          <w:tcPr>
            <w:tcW w:w="106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 (5.6)</w:t>
            </w:r>
          </w:p>
        </w:tc>
        <w:tc>
          <w:tcPr>
            <w:tcW w:w="97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OR 5.4</w:t>
            </w:r>
          </w:p>
        </w:tc>
        <w:tc>
          <w:tcPr>
            <w:tcW w:w="34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159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Empiric antibiotic use, n (%)</w:t>
            </w:r>
          </w:p>
        </w:tc>
        <w:tc>
          <w:tcPr>
            <w:tcW w:w="102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10 (18.9)</w:t>
            </w:r>
          </w:p>
        </w:tc>
        <w:tc>
          <w:tcPr>
            <w:tcW w:w="106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 (2.8)</w:t>
            </w:r>
          </w:p>
        </w:tc>
        <w:tc>
          <w:tcPr>
            <w:tcW w:w="97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OR 8.0</w:t>
            </w:r>
          </w:p>
        </w:tc>
        <w:tc>
          <w:tcPr>
            <w:tcW w:w="34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0.002</w:t>
            </w:r>
          </w:p>
        </w:tc>
      </w:tr>
      <w:tr w:rsidR="00BD0685" w:rsidRPr="00BD0685" w:rsidTr="00BD0685">
        <w:trPr>
          <w:tblCellSpacing w:w="0" w:type="dxa"/>
        </w:trPr>
        <w:tc>
          <w:tcPr>
            <w:tcW w:w="159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Poor functional outcome (</w:t>
            </w:r>
            <w:proofErr w:type="spellStart"/>
            <w:r w:rsidRPr="00BD0685">
              <w:rPr>
                <w:b/>
                <w:color w:val="000000"/>
                <w:sz w:val="16"/>
              </w:rPr>
              <w:t>mRS</w:t>
            </w:r>
            <w:proofErr w:type="spellEnd"/>
            <w:r w:rsidRPr="00BD0685">
              <w:rPr>
                <w:b/>
                <w:color w:val="000000"/>
                <w:sz w:val="16"/>
              </w:rPr>
              <w:t xml:space="preserve"> ≥3), n (%)</w:t>
            </w:r>
          </w:p>
        </w:tc>
        <w:tc>
          <w:tcPr>
            <w:tcW w:w="102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33 (62.3)</w:t>
            </w:r>
          </w:p>
        </w:tc>
        <w:tc>
          <w:tcPr>
            <w:tcW w:w="106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19 (26.8)</w:t>
            </w:r>
          </w:p>
        </w:tc>
        <w:tc>
          <w:tcPr>
            <w:tcW w:w="97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OR 4.5</w:t>
            </w:r>
          </w:p>
        </w:tc>
        <w:tc>
          <w:tcPr>
            <w:tcW w:w="34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r w:rsidR="00BD0685" w:rsidRPr="00BD0685" w:rsidTr="00BD0685">
        <w:trPr>
          <w:tblCellSpacing w:w="0" w:type="dxa"/>
        </w:trPr>
        <w:tc>
          <w:tcPr>
            <w:tcW w:w="159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In-hospital mortality, n (%)</w:t>
            </w:r>
          </w:p>
        </w:tc>
        <w:tc>
          <w:tcPr>
            <w:tcW w:w="102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6 (11.3)</w:t>
            </w:r>
          </w:p>
        </w:tc>
        <w:tc>
          <w:tcPr>
            <w:tcW w:w="1062"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 (2.8)</w:t>
            </w:r>
          </w:p>
        </w:tc>
        <w:tc>
          <w:tcPr>
            <w:tcW w:w="97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OR 4.4</w:t>
            </w:r>
          </w:p>
        </w:tc>
        <w:tc>
          <w:tcPr>
            <w:tcW w:w="344"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0.041</w:t>
            </w:r>
          </w:p>
        </w:tc>
      </w:tr>
      <w:tr w:rsidR="00BD0685" w:rsidRPr="00BD0685" w:rsidTr="00BD0685">
        <w:trPr>
          <w:tblCellSpacing w:w="0" w:type="dxa"/>
        </w:trPr>
        <w:tc>
          <w:tcPr>
            <w:tcW w:w="1591"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 xml:space="preserve">Mean discharge </w:t>
            </w:r>
            <w:proofErr w:type="spellStart"/>
            <w:r w:rsidRPr="00BD0685">
              <w:rPr>
                <w:b/>
                <w:color w:val="000000"/>
                <w:sz w:val="16"/>
              </w:rPr>
              <w:t>mRS</w:t>
            </w:r>
            <w:proofErr w:type="spellEnd"/>
            <w:r w:rsidRPr="00BD0685">
              <w:rPr>
                <w:b/>
                <w:color w:val="000000"/>
                <w:sz w:val="16"/>
              </w:rPr>
              <w:t xml:space="preserve"> score</w:t>
            </w:r>
          </w:p>
        </w:tc>
        <w:tc>
          <w:tcPr>
            <w:tcW w:w="1029"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3.4 ± 1.2</w:t>
            </w:r>
          </w:p>
        </w:tc>
        <w:tc>
          <w:tcPr>
            <w:tcW w:w="1062"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2.2 ± 1.0</w:t>
            </w:r>
          </w:p>
        </w:tc>
        <w:tc>
          <w:tcPr>
            <w:tcW w:w="974"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Mean difference 1.2</w:t>
            </w:r>
          </w:p>
        </w:tc>
        <w:tc>
          <w:tcPr>
            <w:tcW w:w="344"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r>
    </w:tbl>
    <w:p w:rsidR="00BD0685" w:rsidRPr="00BD0685" w:rsidRDefault="00BD0685" w:rsidP="00BD0685">
      <w:pPr>
        <w:pStyle w:val="Body"/>
      </w:pPr>
      <w:r w:rsidRPr="00BD0685">
        <w:t xml:space="preserve">Multivariable inferential analysis identified dysphagia as an independent predictor of poor clinical outcome (OR 4.5, 95% CI 2.0–10.1, p&lt;0.001). Pneumonia during hospitalization was the strongest predictor of poor prognosis (OR 5.2, 95% CI 2.1–12.9, p&lt;0.001). Severe stroke at admission (NIHSS ≥15) was also associated with poor outcome (OR 3.8, 95% CI 1.7–8.5, p=0.002). Hemorrhagic stroke subtype, atrial fibrillation, previous stroke </w:t>
      </w:r>
      <w:r w:rsidRPr="00BD0685">
        <w:lastRenderedPageBreak/>
        <w:t xml:space="preserve">history, and delayed dysphagia screening beyond 24 hours were significantly associated with worse clinical outcomes. Conversely, stroke-unit admission and early swallowing intervention demonstrated protective associations with reduced odds of poor </w:t>
      </w:r>
      <w:proofErr w:type="gramStart"/>
      <w:r w:rsidRPr="00BD0685">
        <w:t>prognosis .</w:t>
      </w:r>
      <w:proofErr w:type="gramEnd"/>
    </w:p>
    <w:p w:rsidR="00BD0685" w:rsidRPr="00BD0685" w:rsidRDefault="00BD0685" w:rsidP="00BD0685">
      <w:pPr>
        <w:pStyle w:val="Caption"/>
      </w:pPr>
      <w:r w:rsidRPr="00BD0685">
        <w:t>Table 4. Multivariable Predictors of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891"/>
        <w:gridCol w:w="1331"/>
        <w:gridCol w:w="805"/>
        <w:gridCol w:w="626"/>
        <w:gridCol w:w="3374"/>
      </w:tblGrid>
      <w:tr w:rsidR="00BD0685" w:rsidRPr="00BD0685" w:rsidTr="00BD0685">
        <w:trPr>
          <w:tblHeader/>
          <w:tblCellSpacing w:w="0" w:type="dxa"/>
        </w:trPr>
        <w:tc>
          <w:tcPr>
            <w:tcW w:w="1601"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Predictor</w:t>
            </w:r>
          </w:p>
        </w:tc>
        <w:tc>
          <w:tcPr>
            <w:tcW w:w="737"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Odds Ratio (OR)</w:t>
            </w:r>
          </w:p>
        </w:tc>
        <w:tc>
          <w:tcPr>
            <w:tcW w:w="446"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95% CI</w:t>
            </w:r>
          </w:p>
        </w:tc>
        <w:tc>
          <w:tcPr>
            <w:tcW w:w="347"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p-value</w:t>
            </w:r>
          </w:p>
        </w:tc>
        <w:tc>
          <w:tcPr>
            <w:tcW w:w="1869" w:type="pct"/>
            <w:tcBorders>
              <w:top w:val="single" w:sz="4" w:space="0" w:color="auto"/>
              <w:bottom w:val="single" w:sz="4" w:space="0" w:color="000000"/>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Interpretation</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Dysphagia presence</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4.5</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2.0–10.1</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Significant predictor of poor outcome</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Atrial fibrillation</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2.1</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1.1–4.3</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0.028</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Increased risk of poor outcome</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Previous stroke history</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1.8</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1.0–3.7</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0.041</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Modestly increased odds</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Hypertension</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1.4</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0.8–2.9</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0.172</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Not independently significant</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Hemorrhagic stroke subtype</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2.6</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1.2–5.8</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0.014</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Associated with worse prognosis</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Pneumonia during hospitalization</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5.2</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2.1–12.9</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&lt;0.001</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Strong predictor of poor prognosis</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NIHSS score ≥15</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3.8</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1.7–8.5</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0.002</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Severe stroke associated with poor outcome</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Delayed dysphagia screening (&gt;24 h)</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2.3</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1.0–5.0</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0.046</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Associated with worse outcome</w:t>
            </w:r>
          </w:p>
        </w:tc>
      </w:tr>
      <w:tr w:rsidR="00BD0685" w:rsidRPr="00BD0685" w:rsidTr="00BD0685">
        <w:trPr>
          <w:tblCellSpacing w:w="0" w:type="dxa"/>
        </w:trPr>
        <w:tc>
          <w:tcPr>
            <w:tcW w:w="1601" w:type="pct"/>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Admission to stroke unit</w:t>
            </w:r>
          </w:p>
        </w:tc>
        <w:tc>
          <w:tcPr>
            <w:tcW w:w="73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0.58</w:t>
            </w:r>
          </w:p>
        </w:tc>
        <w:tc>
          <w:tcPr>
            <w:tcW w:w="446"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0.30–0.95</w:t>
            </w:r>
          </w:p>
        </w:tc>
        <w:tc>
          <w:tcPr>
            <w:tcW w:w="347"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0.032</w:t>
            </w:r>
          </w:p>
        </w:tc>
        <w:tc>
          <w:tcPr>
            <w:tcW w:w="1869" w:type="pct"/>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Protective association</w:t>
            </w:r>
          </w:p>
        </w:tc>
      </w:tr>
      <w:tr w:rsidR="00BD0685" w:rsidRPr="00BD0685" w:rsidTr="00BD0685">
        <w:trPr>
          <w:tblCellSpacing w:w="0" w:type="dxa"/>
        </w:trPr>
        <w:tc>
          <w:tcPr>
            <w:tcW w:w="1601"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b/>
                <w:color w:val="000000"/>
                <w:sz w:val="16"/>
              </w:rPr>
            </w:pPr>
            <w:r w:rsidRPr="00BD0685">
              <w:rPr>
                <w:b/>
                <w:color w:val="000000"/>
                <w:sz w:val="16"/>
              </w:rPr>
              <w:t>Early swallowing intervention</w:t>
            </w:r>
          </w:p>
        </w:tc>
        <w:tc>
          <w:tcPr>
            <w:tcW w:w="737"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0.54</w:t>
            </w:r>
          </w:p>
        </w:tc>
        <w:tc>
          <w:tcPr>
            <w:tcW w:w="446"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0.29–0.98</w:t>
            </w:r>
          </w:p>
        </w:tc>
        <w:tc>
          <w:tcPr>
            <w:tcW w:w="347"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0.039</w:t>
            </w:r>
          </w:p>
        </w:tc>
        <w:tc>
          <w:tcPr>
            <w:tcW w:w="1869" w:type="pct"/>
            <w:tcBorders>
              <w:bottom w:val="single" w:sz="4" w:space="0" w:color="auto"/>
            </w:tcBorders>
            <w:shd w:val="clear" w:color="auto" w:fill="auto"/>
            <w:hideMark/>
          </w:tcPr>
          <w:p w:rsidR="00BD0685" w:rsidRPr="00BD0685" w:rsidRDefault="00BD0685" w:rsidP="00BD0685">
            <w:pPr>
              <w:pStyle w:val="Body"/>
              <w:spacing w:after="0" w:line="240" w:lineRule="auto"/>
              <w:jc w:val="left"/>
              <w:rPr>
                <w:color w:val="000000"/>
                <w:sz w:val="16"/>
              </w:rPr>
            </w:pPr>
            <w:r w:rsidRPr="00BD0685">
              <w:rPr>
                <w:color w:val="000000"/>
                <w:sz w:val="16"/>
              </w:rPr>
              <w:t>Reduced odds of poor outcome</w:t>
            </w:r>
          </w:p>
        </w:tc>
      </w:tr>
    </w:tbl>
    <w:p w:rsidR="00BD0685" w:rsidRPr="00BD0685" w:rsidRDefault="00BD0685" w:rsidP="00BD0685">
      <w:pPr>
        <w:pStyle w:val="Body"/>
      </w:pPr>
      <w:r w:rsidRPr="00BD0685">
        <w:t xml:space="preserve">The baseline demographic analysis demonstrated that dysphagia-positive patients had a clinically more severe stroke profile than dysphagia-negative patients. Patients with dysphagia had significantly higher median NIHSS scores at admission (15 </w:t>
      </w:r>
      <w:proofErr w:type="spellStart"/>
      <w:r w:rsidRPr="00BD0685">
        <w:t>vs</w:t>
      </w:r>
      <w:proofErr w:type="spellEnd"/>
      <w:r w:rsidRPr="00BD0685">
        <w:t xml:space="preserve"> 8, p&lt;0.001), indicating greater neurological impairment. Hemorrhagic stroke was significantly more common among dysphagia-positive patients (39.6% </w:t>
      </w:r>
      <w:proofErr w:type="spellStart"/>
      <w:r w:rsidRPr="00BD0685">
        <w:t>vs</w:t>
      </w:r>
      <w:proofErr w:type="spellEnd"/>
      <w:r w:rsidRPr="00BD0685">
        <w:t xml:space="preserve"> 21.1%, p=0.026), whereas ischemic stroke predominated in the non-dysphagia group. Atrial fibrillation was also significantly associated with dysphagia status, being present in 32.1% of dysphagia-positive patients compared with 16.9% of dysphagia-negative patients (p=0.047). Similarly, dysarthria at presentation was markedly more frequent among dysphagia-positive patients (52.8% </w:t>
      </w:r>
      <w:proofErr w:type="spellStart"/>
      <w:r w:rsidRPr="00BD0685">
        <w:t>vs</w:t>
      </w:r>
      <w:proofErr w:type="spellEnd"/>
      <w:r w:rsidRPr="00BD0685">
        <w:t xml:space="preserve"> 25.4%, p=0.002). Early dysphagia screening within 24 hours occurred less frequently in dysphagia-positive patients than in dysphagia-negative patients (69.8% </w:t>
      </w:r>
      <w:proofErr w:type="spellStart"/>
      <w:r w:rsidRPr="00BD0685">
        <w:t>vs</w:t>
      </w:r>
      <w:proofErr w:type="spellEnd"/>
      <w:r w:rsidRPr="00BD0685">
        <w:t xml:space="preserve"> 85.9%, p=0.029), suggesting that delayed swallowing assessment may contribute to adverse clinical progression.</w:t>
      </w:r>
    </w:p>
    <w:p w:rsidR="00BD0685" w:rsidRPr="00BD0685" w:rsidRDefault="00BD0685" w:rsidP="00BD0685">
      <w:pPr>
        <w:pStyle w:val="Body"/>
      </w:pPr>
      <w:r w:rsidRPr="00BD0685">
        <w:t>Analysis of hospitalization-related variables showed that aspiration-related complications were common among patients with post-stroke dysphagia. Aspiration risk was identified in 35.5% of the overall cohort, while enteral tube feeding was required in 16.9% of patients. Pneumonia developed in 13.7% of all admitted stroke patients, and ICU admission occurred in 15.3%. Mechanical ventilation was required in 8.9% of patients, reflecting substantial inpatient disease severity. Moderate-to-severe disability at discharge (</w:t>
      </w:r>
      <w:proofErr w:type="spellStart"/>
      <w:proofErr w:type="gramStart"/>
      <w:r w:rsidRPr="00BD0685">
        <w:t>mRS</w:t>
      </w:r>
      <w:proofErr w:type="spellEnd"/>
      <w:proofErr w:type="gramEnd"/>
      <w:r w:rsidRPr="00BD0685">
        <w:t xml:space="preserve"> ≥3) was observed in 41.9% of the study population, indicating considerable functional impairment after acute stroke. Dysphagia prevalence was substantially higher among hemorrhagic stroke patients than ischemic stroke patients (58.3% </w:t>
      </w:r>
      <w:proofErr w:type="spellStart"/>
      <w:r w:rsidRPr="00BD0685">
        <w:t>vs</w:t>
      </w:r>
      <w:proofErr w:type="spellEnd"/>
      <w:r w:rsidRPr="00BD0685">
        <w:t xml:space="preserve"> 36.4%), reinforcing the relationship between severe neurological </w:t>
      </w:r>
      <w:proofErr w:type="gramStart"/>
      <w:r w:rsidRPr="00BD0685">
        <w:t>injury</w:t>
      </w:r>
      <w:proofErr w:type="gramEnd"/>
      <w:r w:rsidRPr="00BD0685">
        <w:t xml:space="preserve"> and swallowing dysfunction. </w:t>
      </w:r>
      <w:proofErr w:type="spellStart"/>
      <w:r w:rsidRPr="00BD0685">
        <w:t>Videofluoroscopic</w:t>
      </w:r>
      <w:proofErr w:type="spellEnd"/>
      <w:r w:rsidRPr="00BD0685">
        <w:t xml:space="preserve"> confirmation of dysphagia was documented in 33.9% of patients, supporting objective validation of bedside swallowing </w:t>
      </w:r>
      <w:proofErr w:type="gramStart"/>
      <w:r w:rsidRPr="00BD0685">
        <w:t>findings .</w:t>
      </w:r>
      <w:proofErr w:type="gramEnd"/>
    </w:p>
    <w:p w:rsidR="00BD0685" w:rsidRPr="00BD0685" w:rsidRDefault="00BD0685" w:rsidP="00BD0685">
      <w:pPr>
        <w:pStyle w:val="Body"/>
      </w:pPr>
      <w:r w:rsidRPr="00BD0685">
        <w:t xml:space="preserve">Outcome analysis demonstrated significantly worse </w:t>
      </w:r>
      <w:proofErr w:type="spellStart"/>
      <w:r w:rsidRPr="00BD0685">
        <w:t>inpatient</w:t>
      </w:r>
      <w:proofErr w:type="spellEnd"/>
      <w:r w:rsidRPr="00BD0685">
        <w:t xml:space="preserve"> outcomes among dysphagia-positive patients compared with dysphagia-negative patients. Mean hospital stay was nearly doubled in the dysphagia group (7.1 ± 3.3 days </w:t>
      </w:r>
      <w:proofErr w:type="spellStart"/>
      <w:r w:rsidRPr="00BD0685">
        <w:t>vs</w:t>
      </w:r>
      <w:proofErr w:type="spellEnd"/>
      <w:r w:rsidRPr="00BD0685">
        <w:t xml:space="preserve"> 3.8 ± 1.7 days, p&lt;0.001), indicating increased healthcare utilization and prolonged recovery. Pneumonia occurred in 24.5% of dysphagia-positive patients compared with only 5.6% of dysphagia-negative patients, corresponding to an odds ratio of 5.4 (p&lt;0.001). Empiric antibiotic use was also substantially higher among dysphagia-positive patients (18.9% </w:t>
      </w:r>
      <w:proofErr w:type="spellStart"/>
      <w:r w:rsidRPr="00BD0685">
        <w:t>vs</w:t>
      </w:r>
      <w:proofErr w:type="spellEnd"/>
      <w:r w:rsidRPr="00BD0685">
        <w:t xml:space="preserve"> 2.8%, OR 8.0, p=0.002), likely reflecting increased concern for aspiration-related infection. Poor functional outcome at discharge, defined as </w:t>
      </w:r>
      <w:proofErr w:type="spellStart"/>
      <w:proofErr w:type="gramStart"/>
      <w:r w:rsidRPr="00BD0685">
        <w:t>mRS</w:t>
      </w:r>
      <w:proofErr w:type="spellEnd"/>
      <w:proofErr w:type="gramEnd"/>
      <w:r w:rsidRPr="00BD0685">
        <w:t xml:space="preserve"> ≥3, was observed in 62.3% of dysphagia-positive patients compared with 26.8% of dysphagia-negative patients (OR 4.5, p&lt;0.001). In-hospital mortality was approximately fourfold higher among patients with dysphagia (11.3% </w:t>
      </w:r>
      <w:proofErr w:type="spellStart"/>
      <w:r w:rsidRPr="00BD0685">
        <w:t>vs</w:t>
      </w:r>
      <w:proofErr w:type="spellEnd"/>
      <w:r w:rsidRPr="00BD0685">
        <w:t xml:space="preserve"> 2.8%, OR 4.4, p=0.041). Additionally, mean discharge </w:t>
      </w:r>
      <w:proofErr w:type="spellStart"/>
      <w:r w:rsidRPr="00BD0685">
        <w:t>mRS</w:t>
      </w:r>
      <w:proofErr w:type="spellEnd"/>
      <w:r w:rsidRPr="00BD0685">
        <w:t xml:space="preserve"> score remained significantly worse among dysphagia-positive patients (3.4 ± 1.2 </w:t>
      </w:r>
      <w:proofErr w:type="spellStart"/>
      <w:r w:rsidRPr="00BD0685">
        <w:t>vs</w:t>
      </w:r>
      <w:proofErr w:type="spellEnd"/>
      <w:r w:rsidRPr="00BD0685">
        <w:t xml:space="preserve"> 2.2 ± 1.0, p&lt;0.001), indicating persistent functional disability at </w:t>
      </w:r>
      <w:proofErr w:type="gramStart"/>
      <w:r w:rsidRPr="00BD0685">
        <w:t>discharge .</w:t>
      </w:r>
      <w:proofErr w:type="gramEnd"/>
    </w:p>
    <w:p w:rsidR="00BD0685" w:rsidRPr="00BD0685" w:rsidRDefault="00BD0685" w:rsidP="00BD0685">
      <w:pPr>
        <w:pStyle w:val="Body"/>
      </w:pPr>
      <w:r w:rsidRPr="00BD0685">
        <w:t xml:space="preserve">Multivariable inferential analysis identified several independent predictors of poor clinical outcome. Dysphagia presence was independently associated with a 4.5-fold increase in the odds of poor prognosis (95% CI 2.0–10.1, p&lt;0.001). Pneumonia during hospitalization emerged as the strongest predictor of adverse outcome (OR 5.2, 95% CI 2.1–12.9, p&lt;0.001), highlighting the major contribution of aspiration-related complications to stroke morbidity. Severe stroke at presentation, defined as NIHSS ≥15, was associated with significantly increased odds of poor outcome (OR 3.8, 95% CI 1.7–8.5, p=0.002). Hemorrhagic stroke subtype, atrial fibrillation, previous stroke history, and delayed dysphagia screening beyond 24 hours were also significantly associated with worse prognosis. In contrast, admission to a dedicated stroke unit demonstrated a protective effect (OR 0.58, 95% CI 0.30–0.95, p=0.032), while early swallowing intervention was associated with a 46% reduction in the odds of </w:t>
      </w:r>
      <w:r w:rsidRPr="00BD0685">
        <w:lastRenderedPageBreak/>
        <w:t>poor clinical outcome (OR 0.54, 95% CI 0.29–0.98, p=0.039). These findings suggest that timely dysphagia recognition and structured stroke-unit care may play an important role in improving functional recovery and reducing inpatient complications after acute stroke.</w:t>
      </w:r>
    </w:p>
    <w:p w:rsidR="00BD0685" w:rsidRPr="00BD0685" w:rsidRDefault="00240BFA" w:rsidP="00240BFA">
      <w:pPr>
        <w:pStyle w:val="Body"/>
        <w:jc w:val="center"/>
      </w:pPr>
      <w:r>
        <w:rPr>
          <w:noProof/>
        </w:rPr>
        <w:drawing>
          <wp:inline distT="0" distB="0" distL="0" distR="0">
            <wp:extent cx="4572000" cy="26899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2, 2026, 01_10_4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689918"/>
                    </a:xfrm>
                    <a:prstGeom prst="rect">
                      <a:avLst/>
                    </a:prstGeom>
                  </pic:spPr>
                </pic:pic>
              </a:graphicData>
            </a:graphic>
          </wp:inline>
        </w:drawing>
      </w:r>
    </w:p>
    <w:p w:rsidR="00BD0685" w:rsidRPr="00BD0685" w:rsidRDefault="00BD0685" w:rsidP="00BD0685">
      <w:pPr>
        <w:pStyle w:val="Body"/>
      </w:pPr>
    </w:p>
    <w:p w:rsidR="00BD0685" w:rsidRPr="00BD0685" w:rsidRDefault="00BD0685" w:rsidP="00BD0685">
      <w:pPr>
        <w:pStyle w:val="Caption"/>
      </w:pPr>
      <w:r w:rsidRPr="00BD0685">
        <w:t xml:space="preserve">Figure 1. Relationship </w:t>
      </w:r>
      <w:proofErr w:type="gramStart"/>
      <w:r w:rsidRPr="00BD0685">
        <w:t>Between</w:t>
      </w:r>
      <w:proofErr w:type="gramEnd"/>
      <w:r w:rsidRPr="00BD0685">
        <w:t xml:space="preserve"> Post-Stroke Dysphagia, Pneumonia, Functional Disability, and In-Hospital Mortality</w:t>
      </w:r>
    </w:p>
    <w:p w:rsidR="00BD0685" w:rsidRPr="00BD0685" w:rsidRDefault="00BD0685" w:rsidP="00BD0685">
      <w:pPr>
        <w:pStyle w:val="Body"/>
      </w:pPr>
      <w:r w:rsidRPr="00BD0685">
        <w:t>A grouped gradient outcome-distribution visualization demonstrated a marked escalation in adverse clinical outcomes among dysphagia-positive patients compared with dysphagia-negative patients. Pneumonia incidence increased from 5.6% in the non-dysphagia group to 24.5% in the dysphagia group, representing more than a fourfold relative increase. Poor functional outcome at discharge (</w:t>
      </w:r>
      <w:proofErr w:type="spellStart"/>
      <w:proofErr w:type="gramStart"/>
      <w:r w:rsidRPr="00BD0685">
        <w:t>mRS</w:t>
      </w:r>
      <w:proofErr w:type="spellEnd"/>
      <w:proofErr w:type="gramEnd"/>
      <w:r w:rsidRPr="00BD0685">
        <w:t xml:space="preserve"> ≥3) was observed in 62.3% of dysphagia-positive patients compared with 26.8% of dysphagia-negative patients, indicating a substantial disability gradient associated with swallowing dysfunction. In-hospital mortality similarly increased from 2.8% to 11.3% among patients with dysphagia. Mean hospitalization duration demonstrated a parallel outcome burden, rising from 3.8 ± 1.7 days in dysphagia-negative patients to 7.1 ± 3.3 days in dysphagia-positive patients. The integrated distribution pattern showed that dysphagia clustered consistently with higher complication burden, greater functional dependence, and prolonged hospitalization, supporting its role as an independent marker of severe post-stroke clinical deterioration. </w:t>
      </w:r>
    </w:p>
    <w:p w:rsidR="00BD0685" w:rsidRPr="00BD0685" w:rsidRDefault="00BD0685" w:rsidP="00BD0685">
      <w:pPr>
        <w:pStyle w:val="Heading1"/>
      </w:pPr>
      <w:r w:rsidRPr="00BD0685">
        <w:t>Discussion</w:t>
      </w:r>
    </w:p>
    <w:p w:rsidR="00BD0685" w:rsidRPr="00BD0685" w:rsidRDefault="00BD0685" w:rsidP="00BD0685">
      <w:pPr>
        <w:pStyle w:val="Body"/>
      </w:pPr>
      <w:r w:rsidRPr="00BD0685">
        <w:t>The present study evaluated the clinical outcomes and prognostic significance of post-stroke dysphagia among patients admitted with acute stroke at a tertiary care teaching hospital in Pakistan. The findings demonstrated that dysphagia was highly prevalent, affecting 42.7% of the study population, and was independently associated with significantly worse clinical outcomes, including pneumonia, prolonged hospitalization, poor functional status at discharge, and increased in-hospital mortality. Dysphagia-positive patients had substantially higher odds of poor prognosis even after adjustment for major clinical covariates, supporting the hypothesis that swallowing dysfunction represents an important and clinically actionable determinant of adverse stroke outcomes. These findings are consistent with international literature identifying dysphagia as one of the most important complications of acute stroke because of its close relationship with aspiration, malnutrition, infection, and delayed neurological recovery (12</w:t>
      </w:r>
      <w:proofErr w:type="gramStart"/>
      <w:r w:rsidRPr="00BD0685">
        <w:t>,13</w:t>
      </w:r>
      <w:proofErr w:type="gramEnd"/>
      <w:r w:rsidRPr="00BD0685">
        <w:t>).</w:t>
      </w:r>
    </w:p>
    <w:p w:rsidR="00BD0685" w:rsidRPr="00BD0685" w:rsidRDefault="00BD0685" w:rsidP="00BD0685">
      <w:pPr>
        <w:pStyle w:val="Body"/>
      </w:pPr>
      <w:r w:rsidRPr="00BD0685">
        <w:t xml:space="preserve">The frequency of dysphagia observed in this study is comparable to previously reported prevalence estimates from systematic reviews and multicenter stroke cohorts, where dysphagia prevalence after stroke has ranged from approximately 30% to 65% depending on stroke severity, timing of assessment, and diagnostic methodology (14,15). The higher prevalence of dysphagia among hemorrhagic stroke patients observed in the present study aligns with prior evidence suggesting that hemorrhagic stroke is frequently associated with more severe neurological injury, impaired consciousness, and greater brainstem or cortical disruption affecting swallowing pathways (16). Similarly, the significantly higher NIHSS scores among dysphagia-positive patients support earlier </w:t>
      </w:r>
      <w:r w:rsidRPr="00BD0685">
        <w:lastRenderedPageBreak/>
        <w:t>observations that swallowing dysfunction strongly correlates with overall stroke severity and neurological impairment (17).</w:t>
      </w:r>
    </w:p>
    <w:p w:rsidR="00BD0685" w:rsidRPr="00BD0685" w:rsidRDefault="00BD0685" w:rsidP="00BD0685">
      <w:pPr>
        <w:pStyle w:val="Body"/>
      </w:pPr>
      <w:r w:rsidRPr="00BD0685">
        <w:t>One of the most clinically significant findings of the present study was the strong association between dysphagia and pneumonia development. Pneumonia occurred in nearly one-quarter of dysphagia-positive patients and emerged as the strongest independent predictor of poor clinical outcome in multivariable analysis. This observation is biologically plausible because impaired swallowing function compromises airway protection, thereby increasing the risk of aspiration of oral secretions, food, and gastric contents. Previous meta-analyses have consistently demonstrated that dysphagia screening and early swallowing assessment can significantly reduce aspiration pneumonia among acute stroke patients (18</w:t>
      </w:r>
      <w:proofErr w:type="gramStart"/>
      <w:r w:rsidRPr="00BD0685">
        <w:t>,19</w:t>
      </w:r>
      <w:proofErr w:type="gramEnd"/>
      <w:r w:rsidRPr="00BD0685">
        <w:t>). The markedly increased empiric antibiotic use observed among dysphagia-positive patients in the current study further reflects the clinical burden associated with aspiration-related respiratory complications and highlights an important antimicrobial stewardship concern in hospitalized stroke patients.</w:t>
      </w:r>
    </w:p>
    <w:p w:rsidR="00BD0685" w:rsidRPr="00BD0685" w:rsidRDefault="00BD0685" w:rsidP="00BD0685">
      <w:pPr>
        <w:pStyle w:val="Body"/>
      </w:pPr>
      <w:r w:rsidRPr="00BD0685">
        <w:t>The present findings also demonstrated significantly prolonged hospitalization among dysphagia-positive patients, with mean hospital stay increasing from 3.8 days in dysphagia-negative patients to 7.1 days in dysphagia-positive patients. Prolonged hospitalization after stroke may reflect greater neurological disability, increased risk of secondary complications, delayed nutritional recovery, and higher dependency requirements. Similar associations between dysphagia and extended hospital stay have been reported in both Asian and European stroke populations (20</w:t>
      </w:r>
      <w:proofErr w:type="gramStart"/>
      <w:r w:rsidRPr="00BD0685">
        <w:t>,21</w:t>
      </w:r>
      <w:proofErr w:type="gramEnd"/>
      <w:r w:rsidRPr="00BD0685">
        <w:t>). From a healthcare systems perspective, prolonged hospitalization substantially increases resource utilization and economic burden, particularly in resource-constrained tertiary-care settings where stroke units and rehabilitation facilities may already be under significant pressure.</w:t>
      </w:r>
    </w:p>
    <w:p w:rsidR="00BD0685" w:rsidRPr="00BD0685" w:rsidRDefault="00BD0685" w:rsidP="00BD0685">
      <w:pPr>
        <w:pStyle w:val="Body"/>
      </w:pPr>
      <w:r w:rsidRPr="00BD0685">
        <w:t>Another important finding was the strong association between dysphagia and poor functional outcome at discharge. Nearly two-thirds of dysphagia-positive patients experienced moderate-to-severe disability compared with approximately one-quarter of dysphagia-negative patients. These findings support the concept that dysphagia is not only a marker of stroke severity but also a direct contributor to functional deterioration through impaired nutritional intake, aspiration risk, reduced rehabilitation participation, and systemic complications. Prior studies have similarly shown that swallowing dysfunction adversely affects post-stroke rehabilitation efficiency and long-term quality of life (22</w:t>
      </w:r>
      <w:proofErr w:type="gramStart"/>
      <w:r w:rsidRPr="00BD0685">
        <w:t>,23</w:t>
      </w:r>
      <w:proofErr w:type="gramEnd"/>
      <w:r w:rsidRPr="00BD0685">
        <w:t xml:space="preserve">). The significantly higher discharge </w:t>
      </w:r>
      <w:proofErr w:type="spellStart"/>
      <w:r w:rsidRPr="00BD0685">
        <w:t>mRS</w:t>
      </w:r>
      <w:proofErr w:type="spellEnd"/>
      <w:r w:rsidRPr="00BD0685">
        <w:t xml:space="preserve"> scores among dysphagia-positive patients in the current study further emphasize the substantial disability burden associated with impaired swallowing after stroke.</w:t>
      </w:r>
    </w:p>
    <w:p w:rsidR="00BD0685" w:rsidRPr="00BD0685" w:rsidRDefault="00BD0685" w:rsidP="00BD0685">
      <w:pPr>
        <w:pStyle w:val="Body"/>
      </w:pPr>
      <w:r w:rsidRPr="00BD0685">
        <w:t>Importantly, delayed dysphagia screening beyond 24 hours was independently associated with poor clinical outcome, whereas early swallowing intervention and admission to a dedicated stroke unit demonstrated protective effects. These findings support current international recommendations advocating universal early dysphagia screening in acute stroke pathways (24</w:t>
      </w:r>
      <w:proofErr w:type="gramStart"/>
      <w:r w:rsidRPr="00BD0685">
        <w:t>,25</w:t>
      </w:r>
      <w:proofErr w:type="gramEnd"/>
      <w:r w:rsidRPr="00BD0685">
        <w:t>). Early recognition of swallowing dysfunction allows prompt implementation of aspiration precautions, dietary modification, enteral feeding decisions, and swallowing rehabilitation strategies before major complications occur. The protective association observed with stroke-unit admission is also consistent with prior evidence demonstrating improved stroke outcomes in specialized multidisciplinary units due to coordinated neurological monitoring, rehabilitation services, infection prevention, and standardized care protocols (26).</w:t>
      </w:r>
    </w:p>
    <w:p w:rsidR="00BD0685" w:rsidRPr="00BD0685" w:rsidRDefault="00BD0685" w:rsidP="00BD0685">
      <w:pPr>
        <w:pStyle w:val="Body"/>
      </w:pPr>
      <w:r w:rsidRPr="00BD0685">
        <w:t xml:space="preserve">The present study has important implications for acute stroke care in Pakistan and other low- and middle-income healthcare systems. Dysphagia screening is frequently </w:t>
      </w:r>
      <w:proofErr w:type="spellStart"/>
      <w:r w:rsidRPr="00BD0685">
        <w:t>underprioritized</w:t>
      </w:r>
      <w:proofErr w:type="spellEnd"/>
      <w:r w:rsidRPr="00BD0685">
        <w:t xml:space="preserve"> in busy emergency and inpatient settings because of limited speech therapy resources, inconsistent screening protocols, and inadequate multidisciplinary coordination. However, the current findings suggest that systematic early dysphagia assessment may substantially reduce pneumonia, disability, and mortality while improving inpatient stroke outcomes. The implementation of standardized bedside swallowing screening protocols and structured stroke-unit pathways may therefore represent cost-effective interventions capable of improving neurological outcomes in tertiary-care hospitals.</w:t>
      </w:r>
    </w:p>
    <w:p w:rsidR="00BD0685" w:rsidRPr="00BD0685" w:rsidRDefault="00BD0685" w:rsidP="00BD0685">
      <w:pPr>
        <w:pStyle w:val="Body"/>
      </w:pPr>
      <w:r w:rsidRPr="00BD0685">
        <w:t xml:space="preserve">Several limitations should be considered while interpreting the study findings. First, the single-center observational design may limit external generalizability to other healthcare settings and populations. Second, the sample size was relatively modest, which may reduce statistical power for subgroup analyses and rare clinical outcomes. Third, not all patients underwent </w:t>
      </w:r>
      <w:proofErr w:type="spellStart"/>
      <w:r w:rsidRPr="00BD0685">
        <w:t>videofluoroscopic</w:t>
      </w:r>
      <w:proofErr w:type="spellEnd"/>
      <w:r w:rsidRPr="00BD0685">
        <w:t xml:space="preserve"> confirmation, potentially introducing variability in dysphagia classification. Fourth, the observational nature of the study limits causal inference, and residual confounding related to stroke severity, rehabilitation intensity, or comorbidity burden may still exist despite </w:t>
      </w:r>
      <w:r w:rsidRPr="00BD0685">
        <w:lastRenderedPageBreak/>
        <w:t>multivariable adjustment. Finally, long-term functional outcomes after discharge were not evaluated, limiting assessment of persistent disability and recovery trajectory.</w:t>
      </w:r>
    </w:p>
    <w:p w:rsidR="00BD0685" w:rsidRPr="00BD0685" w:rsidRDefault="00BD0685" w:rsidP="00BD0685">
      <w:pPr>
        <w:pStyle w:val="Body"/>
      </w:pPr>
      <w:r w:rsidRPr="00BD0685">
        <w:t>Despite these limitations, the study provides clinically meaningful tertiary-care evidence regarding the burden and prognostic impact of post-stroke dysphagia in Pakistan. The integration of bedside screening, functional outcomes, hospitalization metrics, and multivariable prognostic analysis strengthens the clinical relevance of the findings. Future multicenter prospective studies with larger populations and longitudinal follow-up are needed to further validate these associations and evaluate the effectiveness of standardized dysphagia screening and rehabilitation protocols in improving stroke outcomes.</w:t>
      </w:r>
    </w:p>
    <w:p w:rsidR="00BD0685" w:rsidRPr="00BD0685" w:rsidRDefault="00BD0685" w:rsidP="00BD0685">
      <w:pPr>
        <w:pStyle w:val="Heading1"/>
      </w:pPr>
      <w:r w:rsidRPr="00BD0685">
        <w:t>Conclusion</w:t>
      </w:r>
    </w:p>
    <w:p w:rsidR="00BD0685" w:rsidRPr="00BD0685" w:rsidRDefault="00BD0685" w:rsidP="00BD0685">
      <w:pPr>
        <w:pStyle w:val="Body"/>
      </w:pPr>
      <w:r w:rsidRPr="00BD0685">
        <w:t>Post-stroke dysphagia was highly prevalent among acute stroke patients admitted to Services Hospital Lahore and was significantly associated with pneumonia, prolonged hospitalization, poor functional outcome, and increased in-hospital mortality. Dysphagia-positive patients demonstrated substantially greater neurological severity, higher rates of aspiration-related complications, and worse discharge disability compared with dysphagia-negative patients. Pneumonia, severe stroke, hemorrhagic stroke subtype, atrial fibrillation, and delayed dysphagia screening independently predicted poor prognosis, whereas stroke-unit admission and early swallowing intervention were associated with improved clinical outcomes. These findings highlight the critical importance of early dysphagia screening and structured multidisciplinary swallowing management in acute stroke care. The implementation of standardized dysphagia assessment protocols within tertiary-care stroke units may help reduce preventable complications, improve functional recovery, and decrease mortality among stroke patients in resource-limited healthcare settings.</w:t>
      </w:r>
    </w:p>
    <w:p w:rsidR="00BD0685" w:rsidRPr="00BD0685" w:rsidRDefault="00BD0685" w:rsidP="00BD0685">
      <w:pPr>
        <w:pStyle w:val="Heading1"/>
      </w:pPr>
      <w:r w:rsidRPr="00BD0685">
        <w:t>References</w:t>
      </w:r>
    </w:p>
    <w:p w:rsidR="00BD0685" w:rsidRPr="00BD0685" w:rsidRDefault="00BD0685" w:rsidP="00240BFA">
      <w:pPr>
        <w:pStyle w:val="Body"/>
        <w:numPr>
          <w:ilvl w:val="0"/>
          <w:numId w:val="18"/>
        </w:numPr>
      </w:pPr>
      <w:r w:rsidRPr="00BD0685">
        <w:t xml:space="preserve">Benfield JK, Everton LF, Bath PM, England TJ. Accuracy and clinical utility of comprehensive dysphagia screening assessments in acute stroke: a systematic review and meta-analysis. J </w:t>
      </w:r>
      <w:proofErr w:type="spellStart"/>
      <w:r w:rsidRPr="00BD0685">
        <w:t>Clin</w:t>
      </w:r>
      <w:proofErr w:type="spellEnd"/>
      <w:r w:rsidRPr="00BD0685">
        <w:t xml:space="preserve"> </w:t>
      </w:r>
      <w:proofErr w:type="spellStart"/>
      <w:r w:rsidRPr="00BD0685">
        <w:t>Nurs</w:t>
      </w:r>
      <w:proofErr w:type="spellEnd"/>
      <w:r w:rsidRPr="00BD0685">
        <w:t xml:space="preserve">. 2020. doi:10.1111/jocn.15192 </w:t>
      </w:r>
    </w:p>
    <w:p w:rsidR="00BD0685" w:rsidRPr="00BD0685" w:rsidRDefault="00BD0685" w:rsidP="00240BFA">
      <w:pPr>
        <w:pStyle w:val="Body"/>
        <w:numPr>
          <w:ilvl w:val="0"/>
          <w:numId w:val="18"/>
        </w:numPr>
      </w:pPr>
      <w:proofErr w:type="spellStart"/>
      <w:r w:rsidRPr="00BD0685">
        <w:t>Boaden</w:t>
      </w:r>
      <w:proofErr w:type="spellEnd"/>
      <w:r w:rsidRPr="00BD0685">
        <w:t xml:space="preserve"> E, </w:t>
      </w:r>
      <w:proofErr w:type="spellStart"/>
      <w:r w:rsidRPr="00BD0685">
        <w:t>Burnell</w:t>
      </w:r>
      <w:proofErr w:type="spellEnd"/>
      <w:r w:rsidRPr="00BD0685">
        <w:t xml:space="preserve"> J, Hives L, </w:t>
      </w:r>
      <w:proofErr w:type="spellStart"/>
      <w:r w:rsidRPr="00BD0685">
        <w:t>Dey</w:t>
      </w:r>
      <w:proofErr w:type="spellEnd"/>
      <w:r w:rsidRPr="00BD0685">
        <w:t xml:space="preserve"> P, Clegg A, Lyons MW, et al. Screening for aspiration risk associated with dysphagia in acute stroke. Cochrane Database </w:t>
      </w:r>
      <w:proofErr w:type="spellStart"/>
      <w:r w:rsidRPr="00BD0685">
        <w:t>Syst</w:t>
      </w:r>
      <w:proofErr w:type="spellEnd"/>
      <w:r w:rsidRPr="00BD0685">
        <w:t xml:space="preserve"> Rev. 2021. doi:10.1002/14651858.CD012679.pub2 </w:t>
      </w:r>
    </w:p>
    <w:p w:rsidR="00BD0685" w:rsidRPr="00BD0685" w:rsidRDefault="00BD0685" w:rsidP="00240BFA">
      <w:pPr>
        <w:pStyle w:val="Body"/>
        <w:numPr>
          <w:ilvl w:val="0"/>
          <w:numId w:val="18"/>
        </w:numPr>
      </w:pPr>
      <w:proofErr w:type="spellStart"/>
      <w:r w:rsidRPr="00BD0685">
        <w:t>D’Netto</w:t>
      </w:r>
      <w:proofErr w:type="spellEnd"/>
      <w:r w:rsidRPr="00BD0685">
        <w:t xml:space="preserve"> P, </w:t>
      </w:r>
      <w:proofErr w:type="spellStart"/>
      <w:r w:rsidRPr="00BD0685">
        <w:t>Rumbach</w:t>
      </w:r>
      <w:proofErr w:type="spellEnd"/>
      <w:r w:rsidRPr="00BD0685">
        <w:t xml:space="preserve"> A, Dunn K, Finch E. Clinical predictors of dysphagia recovery after stroke: a systematic review. Dysphagia. 2022. doi:10.1007/s00455-022-10443-3 </w:t>
      </w:r>
    </w:p>
    <w:p w:rsidR="00BD0685" w:rsidRPr="00BD0685" w:rsidRDefault="00BD0685" w:rsidP="00240BFA">
      <w:pPr>
        <w:pStyle w:val="Body"/>
        <w:numPr>
          <w:ilvl w:val="0"/>
          <w:numId w:val="18"/>
        </w:numPr>
      </w:pPr>
      <w:proofErr w:type="spellStart"/>
      <w:r w:rsidRPr="00BD0685">
        <w:t>Dziewas</w:t>
      </w:r>
      <w:proofErr w:type="spellEnd"/>
      <w:r w:rsidRPr="00BD0685">
        <w:t xml:space="preserve"> R, </w:t>
      </w:r>
      <w:proofErr w:type="spellStart"/>
      <w:r w:rsidRPr="00BD0685">
        <w:t>Michou</w:t>
      </w:r>
      <w:proofErr w:type="spellEnd"/>
      <w:r w:rsidRPr="00BD0685">
        <w:t xml:space="preserve"> E, </w:t>
      </w:r>
      <w:proofErr w:type="spellStart"/>
      <w:r w:rsidRPr="00BD0685">
        <w:t>Trapl-Grundschober</w:t>
      </w:r>
      <w:proofErr w:type="spellEnd"/>
      <w:r w:rsidRPr="00BD0685">
        <w:t xml:space="preserve"> M, </w:t>
      </w:r>
      <w:proofErr w:type="spellStart"/>
      <w:r w:rsidRPr="00BD0685">
        <w:t>Lal</w:t>
      </w:r>
      <w:proofErr w:type="spellEnd"/>
      <w:r w:rsidRPr="00BD0685">
        <w:t xml:space="preserve"> A, </w:t>
      </w:r>
      <w:proofErr w:type="spellStart"/>
      <w:r w:rsidRPr="00BD0685">
        <w:t>Arsava</w:t>
      </w:r>
      <w:proofErr w:type="spellEnd"/>
      <w:r w:rsidRPr="00BD0685">
        <w:t xml:space="preserve"> E, Bath P, et al. European Stroke </w:t>
      </w:r>
      <w:proofErr w:type="spellStart"/>
      <w:r w:rsidRPr="00BD0685">
        <w:t>Organisation</w:t>
      </w:r>
      <w:proofErr w:type="spellEnd"/>
      <w:r w:rsidRPr="00BD0685">
        <w:t xml:space="preserve"> and European Society for Swallowing Disorders guideline for the diagnosis and treatment of post-stroke dysphagia. </w:t>
      </w:r>
      <w:proofErr w:type="spellStart"/>
      <w:r w:rsidRPr="00BD0685">
        <w:t>Eur</w:t>
      </w:r>
      <w:proofErr w:type="spellEnd"/>
      <w:r w:rsidRPr="00BD0685">
        <w:t xml:space="preserve"> Stroke J. 2021. doi:10.1177/23969873211039721 </w:t>
      </w:r>
    </w:p>
    <w:p w:rsidR="00BD0685" w:rsidRPr="00BD0685" w:rsidRDefault="00BD0685" w:rsidP="00240BFA">
      <w:pPr>
        <w:pStyle w:val="Body"/>
        <w:numPr>
          <w:ilvl w:val="0"/>
          <w:numId w:val="18"/>
        </w:numPr>
      </w:pPr>
      <w:r w:rsidRPr="00BD0685">
        <w:t xml:space="preserve">Fairfield C, </w:t>
      </w:r>
      <w:proofErr w:type="spellStart"/>
      <w:r w:rsidRPr="00BD0685">
        <w:t>Smithard</w:t>
      </w:r>
      <w:proofErr w:type="spellEnd"/>
      <w:r w:rsidRPr="00BD0685">
        <w:t xml:space="preserve"> DG. Assessment and management of dysphagia in acute stroke: an initial service review of international practice. Geriatrics. 2020. doi:10.3390/geriatrics5010004 </w:t>
      </w:r>
    </w:p>
    <w:p w:rsidR="00BD0685" w:rsidRPr="00BD0685" w:rsidRDefault="00BD0685" w:rsidP="00240BFA">
      <w:pPr>
        <w:pStyle w:val="Body"/>
        <w:numPr>
          <w:ilvl w:val="0"/>
          <w:numId w:val="18"/>
        </w:numPr>
      </w:pPr>
      <w:proofErr w:type="spellStart"/>
      <w:r w:rsidRPr="00BD0685">
        <w:t>Finniss</w:t>
      </w:r>
      <w:proofErr w:type="spellEnd"/>
      <w:r w:rsidRPr="00BD0685">
        <w:t xml:space="preserve"> M, Myers J, Wilson JR, Wilson VC, Lewis P. Dysphagia after stroke: an unmet antibiotic stewardship opportunity. Dysphagia. 2021. doi:10.1007/s00455-021-10269-5 </w:t>
      </w:r>
    </w:p>
    <w:p w:rsidR="00BD0685" w:rsidRPr="00BD0685" w:rsidRDefault="00BD0685" w:rsidP="00240BFA">
      <w:pPr>
        <w:pStyle w:val="Body"/>
        <w:numPr>
          <w:ilvl w:val="0"/>
          <w:numId w:val="18"/>
        </w:numPr>
      </w:pPr>
      <w:r w:rsidRPr="00BD0685">
        <w:t xml:space="preserve">Jiang YL, Chi Y, Pan R, Zhang D, Huang S, </w:t>
      </w:r>
      <w:proofErr w:type="spellStart"/>
      <w:r w:rsidRPr="00BD0685">
        <w:t>Ju</w:t>
      </w:r>
      <w:proofErr w:type="spellEnd"/>
      <w:r w:rsidRPr="00BD0685">
        <w:t xml:space="preserve"> H, Li Y. Advancing stroke patient care: a network meta-analysis of dysphagia screening efficacy and personalization. Front Neurol. 2024. doi:10.3389/fneur.2024.1380287 </w:t>
      </w:r>
    </w:p>
    <w:p w:rsidR="00BD0685" w:rsidRPr="00BD0685" w:rsidRDefault="00BD0685" w:rsidP="00240BFA">
      <w:pPr>
        <w:pStyle w:val="Body"/>
        <w:numPr>
          <w:ilvl w:val="0"/>
          <w:numId w:val="18"/>
        </w:numPr>
      </w:pPr>
      <w:proofErr w:type="spellStart"/>
      <w:r w:rsidRPr="00BD0685">
        <w:t>Kiekens</w:t>
      </w:r>
      <w:proofErr w:type="spellEnd"/>
      <w:r w:rsidRPr="00BD0685">
        <w:t xml:space="preserve"> C, </w:t>
      </w:r>
      <w:proofErr w:type="spellStart"/>
      <w:r w:rsidRPr="00BD0685">
        <w:t>Tognonato</w:t>
      </w:r>
      <w:proofErr w:type="spellEnd"/>
      <w:r w:rsidRPr="00BD0685">
        <w:t xml:space="preserve"> C. Which screening tool should be used for identifying aspiration risk associated with dysphagia in acute stroke? A Cochrane Review summary with commentary. </w:t>
      </w:r>
      <w:proofErr w:type="spellStart"/>
      <w:r w:rsidRPr="00BD0685">
        <w:t>NeuroRehabilitation</w:t>
      </w:r>
      <w:proofErr w:type="spellEnd"/>
      <w:r w:rsidRPr="00BD0685">
        <w:t xml:space="preserve">. 2022. doi:10.3233/NRE-228024 </w:t>
      </w:r>
    </w:p>
    <w:p w:rsidR="00BD0685" w:rsidRPr="00BD0685" w:rsidRDefault="00BD0685" w:rsidP="00240BFA">
      <w:pPr>
        <w:pStyle w:val="Body"/>
        <w:numPr>
          <w:ilvl w:val="0"/>
          <w:numId w:val="18"/>
        </w:numPr>
      </w:pPr>
      <w:proofErr w:type="spellStart"/>
      <w:r w:rsidRPr="00BD0685">
        <w:t>Krekeler</w:t>
      </w:r>
      <w:proofErr w:type="spellEnd"/>
      <w:r w:rsidRPr="00BD0685">
        <w:t xml:space="preserve"> BN, </w:t>
      </w:r>
      <w:proofErr w:type="spellStart"/>
      <w:r w:rsidRPr="00BD0685">
        <w:t>Schieve</w:t>
      </w:r>
      <w:proofErr w:type="spellEnd"/>
      <w:r w:rsidRPr="00BD0685">
        <w:t xml:space="preserve"> HJP, </w:t>
      </w:r>
      <w:proofErr w:type="spellStart"/>
      <w:r w:rsidRPr="00BD0685">
        <w:t>Khoury</w:t>
      </w:r>
      <w:proofErr w:type="spellEnd"/>
      <w:r w:rsidRPr="00BD0685">
        <w:t xml:space="preserve"> JC, Ding L, </w:t>
      </w:r>
      <w:proofErr w:type="spellStart"/>
      <w:r w:rsidRPr="00BD0685">
        <w:t>Haverbusch</w:t>
      </w:r>
      <w:proofErr w:type="spellEnd"/>
      <w:r w:rsidRPr="00BD0685">
        <w:t xml:space="preserve"> M, </w:t>
      </w:r>
      <w:proofErr w:type="spellStart"/>
      <w:r w:rsidRPr="00BD0685">
        <w:t>Alwell</w:t>
      </w:r>
      <w:proofErr w:type="spellEnd"/>
      <w:r w:rsidRPr="00BD0685">
        <w:t xml:space="preserve"> K, et al. Health factors associated with development and severity of </w:t>
      </w:r>
      <w:proofErr w:type="spellStart"/>
      <w:r w:rsidRPr="00BD0685">
        <w:t>poststroke</w:t>
      </w:r>
      <w:proofErr w:type="spellEnd"/>
      <w:r w:rsidRPr="00BD0685">
        <w:t xml:space="preserve"> dysphagia: an epidemiological investigation. J Am Heart Assoc. 2024. doi:10.1161/JAHA.123.033922 </w:t>
      </w:r>
    </w:p>
    <w:p w:rsidR="00BD0685" w:rsidRPr="00BD0685" w:rsidRDefault="00BD0685" w:rsidP="00240BFA">
      <w:pPr>
        <w:pStyle w:val="Body"/>
        <w:numPr>
          <w:ilvl w:val="0"/>
          <w:numId w:val="18"/>
        </w:numPr>
      </w:pPr>
      <w:proofErr w:type="spellStart"/>
      <w:r w:rsidRPr="00BD0685">
        <w:lastRenderedPageBreak/>
        <w:t>Labeit</w:t>
      </w:r>
      <w:proofErr w:type="spellEnd"/>
      <w:r w:rsidRPr="00BD0685">
        <w:t xml:space="preserve"> B, </w:t>
      </w:r>
      <w:proofErr w:type="spellStart"/>
      <w:r w:rsidRPr="00BD0685">
        <w:t>Michou</w:t>
      </w:r>
      <w:proofErr w:type="spellEnd"/>
      <w:r w:rsidRPr="00BD0685">
        <w:t xml:space="preserve"> E, </w:t>
      </w:r>
      <w:proofErr w:type="spellStart"/>
      <w:r w:rsidRPr="00BD0685">
        <w:t>Hamdy</w:t>
      </w:r>
      <w:proofErr w:type="spellEnd"/>
      <w:r w:rsidRPr="00BD0685">
        <w:t xml:space="preserve"> S, </w:t>
      </w:r>
      <w:proofErr w:type="spellStart"/>
      <w:r w:rsidRPr="00BD0685">
        <w:t>Trapl-Grundschober</w:t>
      </w:r>
      <w:proofErr w:type="spellEnd"/>
      <w:r w:rsidRPr="00BD0685">
        <w:t xml:space="preserve"> M, </w:t>
      </w:r>
      <w:proofErr w:type="spellStart"/>
      <w:r w:rsidRPr="00BD0685">
        <w:t>Suntrup</w:t>
      </w:r>
      <w:proofErr w:type="spellEnd"/>
      <w:r w:rsidRPr="00BD0685">
        <w:t xml:space="preserve">-Krueger S, </w:t>
      </w:r>
      <w:proofErr w:type="spellStart"/>
      <w:r w:rsidRPr="00BD0685">
        <w:t>Muhle</w:t>
      </w:r>
      <w:proofErr w:type="spellEnd"/>
      <w:r w:rsidRPr="00BD0685">
        <w:t xml:space="preserve"> P, et al. The assessment of dysphagia after stroke: state of the art and future directions. Lancet Neurol. 2023. doi:10.1016/S1474-4422(23)00153-9 </w:t>
      </w:r>
    </w:p>
    <w:p w:rsidR="00BD0685" w:rsidRPr="00BD0685" w:rsidRDefault="00BD0685" w:rsidP="00240BFA">
      <w:pPr>
        <w:pStyle w:val="Body"/>
        <w:numPr>
          <w:ilvl w:val="0"/>
          <w:numId w:val="18"/>
        </w:numPr>
      </w:pPr>
      <w:proofErr w:type="spellStart"/>
      <w:r w:rsidRPr="00BD0685">
        <w:t>Labeit</w:t>
      </w:r>
      <w:proofErr w:type="spellEnd"/>
      <w:r w:rsidRPr="00BD0685">
        <w:t xml:space="preserve"> B, </w:t>
      </w:r>
      <w:proofErr w:type="spellStart"/>
      <w:r w:rsidRPr="00BD0685">
        <w:t>Muhle</w:t>
      </w:r>
      <w:proofErr w:type="spellEnd"/>
      <w:r w:rsidRPr="00BD0685">
        <w:t xml:space="preserve"> P, </w:t>
      </w:r>
      <w:proofErr w:type="spellStart"/>
      <w:r w:rsidRPr="00BD0685">
        <w:t>Dziewas</w:t>
      </w:r>
      <w:proofErr w:type="spellEnd"/>
      <w:r w:rsidRPr="00BD0685">
        <w:t xml:space="preserve"> R, </w:t>
      </w:r>
      <w:proofErr w:type="spellStart"/>
      <w:r w:rsidRPr="00BD0685">
        <w:t>Suntrup</w:t>
      </w:r>
      <w:proofErr w:type="spellEnd"/>
      <w:r w:rsidRPr="00BD0685">
        <w:t xml:space="preserve">-Krueger S. </w:t>
      </w:r>
      <w:proofErr w:type="spellStart"/>
      <w:r w:rsidRPr="00BD0685">
        <w:t>Diagnostik</w:t>
      </w:r>
      <w:proofErr w:type="spellEnd"/>
      <w:r w:rsidRPr="00BD0685">
        <w:t xml:space="preserve"> und </w:t>
      </w:r>
      <w:proofErr w:type="spellStart"/>
      <w:r w:rsidRPr="00BD0685">
        <w:t>Therapie</w:t>
      </w:r>
      <w:proofErr w:type="spellEnd"/>
      <w:r w:rsidRPr="00BD0685">
        <w:t xml:space="preserve"> der </w:t>
      </w:r>
      <w:proofErr w:type="spellStart"/>
      <w:r w:rsidRPr="00BD0685">
        <w:t>Dysphagie</w:t>
      </w:r>
      <w:proofErr w:type="spellEnd"/>
      <w:r w:rsidRPr="00BD0685">
        <w:t xml:space="preserve"> </w:t>
      </w:r>
      <w:proofErr w:type="spellStart"/>
      <w:r w:rsidRPr="00BD0685">
        <w:t>nach</w:t>
      </w:r>
      <w:proofErr w:type="spellEnd"/>
      <w:r w:rsidRPr="00BD0685">
        <w:t xml:space="preserve"> </w:t>
      </w:r>
      <w:proofErr w:type="spellStart"/>
      <w:r w:rsidRPr="00BD0685">
        <w:t>einem</w:t>
      </w:r>
      <w:proofErr w:type="spellEnd"/>
      <w:r w:rsidRPr="00BD0685">
        <w:t xml:space="preserve"> </w:t>
      </w:r>
      <w:proofErr w:type="spellStart"/>
      <w:r w:rsidRPr="00BD0685">
        <w:t>Schlaganfall</w:t>
      </w:r>
      <w:proofErr w:type="spellEnd"/>
      <w:r w:rsidRPr="00BD0685">
        <w:t xml:space="preserve">. </w:t>
      </w:r>
      <w:proofErr w:type="spellStart"/>
      <w:r w:rsidRPr="00BD0685">
        <w:t>Nervenarzt</w:t>
      </w:r>
      <w:proofErr w:type="spellEnd"/>
      <w:r w:rsidRPr="00BD0685">
        <w:t xml:space="preserve">. 2023. doi:10.1007/s00115-023-01483-7 </w:t>
      </w:r>
    </w:p>
    <w:p w:rsidR="00BD0685" w:rsidRPr="00BD0685" w:rsidRDefault="00BD0685" w:rsidP="00240BFA">
      <w:pPr>
        <w:pStyle w:val="Body"/>
        <w:numPr>
          <w:ilvl w:val="0"/>
          <w:numId w:val="18"/>
        </w:numPr>
      </w:pPr>
      <w:r w:rsidRPr="00BD0685">
        <w:t xml:space="preserve">Liang J, Yin Z, Li Z, </w:t>
      </w:r>
      <w:proofErr w:type="spellStart"/>
      <w:r w:rsidRPr="00BD0685">
        <w:t>Gu</w:t>
      </w:r>
      <w:proofErr w:type="spellEnd"/>
      <w:r w:rsidRPr="00BD0685">
        <w:t xml:space="preserve"> H, Yang K, </w:t>
      </w:r>
      <w:proofErr w:type="spellStart"/>
      <w:r w:rsidRPr="00BD0685">
        <w:t>Xiong</w:t>
      </w:r>
      <w:proofErr w:type="spellEnd"/>
      <w:r w:rsidRPr="00BD0685">
        <w:t xml:space="preserve"> Y, et al. Predictors of dysphagia screening and pneumonia among patients with acute </w:t>
      </w:r>
      <w:proofErr w:type="spellStart"/>
      <w:r w:rsidRPr="00BD0685">
        <w:t>ischaemic</w:t>
      </w:r>
      <w:proofErr w:type="spellEnd"/>
      <w:r w:rsidRPr="00BD0685">
        <w:t xml:space="preserve"> stroke in China: findings from the Chinese Stroke Center Alliance. Stroke </w:t>
      </w:r>
      <w:proofErr w:type="spellStart"/>
      <w:r w:rsidRPr="00BD0685">
        <w:t>Vasc</w:t>
      </w:r>
      <w:proofErr w:type="spellEnd"/>
      <w:r w:rsidRPr="00BD0685">
        <w:t xml:space="preserve"> Neurol. 2022</w:t>
      </w:r>
      <w:proofErr w:type="gramStart"/>
      <w:r w:rsidRPr="00BD0685">
        <w:t>;7</w:t>
      </w:r>
      <w:proofErr w:type="gramEnd"/>
      <w:r w:rsidRPr="00BD0685">
        <w:t xml:space="preserve">(4):294-301. doi:10.1136/svn-2020-000746 </w:t>
      </w:r>
    </w:p>
    <w:p w:rsidR="00BD0685" w:rsidRPr="00BD0685" w:rsidRDefault="00BD0685" w:rsidP="00240BFA">
      <w:pPr>
        <w:pStyle w:val="Body"/>
        <w:numPr>
          <w:ilvl w:val="0"/>
          <w:numId w:val="18"/>
        </w:numPr>
      </w:pPr>
      <w:proofErr w:type="spellStart"/>
      <w:r w:rsidRPr="00BD0685">
        <w:t>Londhe</w:t>
      </w:r>
      <w:proofErr w:type="spellEnd"/>
      <w:r w:rsidRPr="00BD0685">
        <w:t xml:space="preserve"> C, Agrawal A, </w:t>
      </w:r>
      <w:proofErr w:type="spellStart"/>
      <w:r w:rsidRPr="00BD0685">
        <w:t>Pednekar</w:t>
      </w:r>
      <w:proofErr w:type="spellEnd"/>
      <w:r w:rsidRPr="00BD0685">
        <w:t xml:space="preserve"> S, Pandey D, Khan MF. Swallowing dysfunction after acute stroke: the incidence, predictors and outcome. J </w:t>
      </w:r>
      <w:proofErr w:type="spellStart"/>
      <w:r w:rsidRPr="00BD0685">
        <w:t>Assoc</w:t>
      </w:r>
      <w:proofErr w:type="spellEnd"/>
      <w:r w:rsidRPr="00BD0685">
        <w:t xml:space="preserve"> Physicians India. 2023. doi:10.59556/japi.71.0301 </w:t>
      </w:r>
    </w:p>
    <w:p w:rsidR="00BD0685" w:rsidRPr="00BD0685" w:rsidRDefault="00BD0685" w:rsidP="00240BFA">
      <w:pPr>
        <w:pStyle w:val="Body"/>
        <w:numPr>
          <w:ilvl w:val="0"/>
          <w:numId w:val="18"/>
        </w:numPr>
      </w:pPr>
      <w:proofErr w:type="spellStart"/>
      <w:r w:rsidRPr="00BD0685">
        <w:t>Mancin</w:t>
      </w:r>
      <w:proofErr w:type="spellEnd"/>
      <w:r w:rsidRPr="00BD0685">
        <w:t xml:space="preserve"> S, </w:t>
      </w:r>
      <w:proofErr w:type="spellStart"/>
      <w:r w:rsidRPr="00BD0685">
        <w:t>Sguanci</w:t>
      </w:r>
      <w:proofErr w:type="spellEnd"/>
      <w:r w:rsidRPr="00BD0685">
        <w:t xml:space="preserve"> M, </w:t>
      </w:r>
      <w:proofErr w:type="spellStart"/>
      <w:r w:rsidRPr="00BD0685">
        <w:t>Reggiani</w:t>
      </w:r>
      <w:proofErr w:type="spellEnd"/>
      <w:r w:rsidRPr="00BD0685">
        <w:t xml:space="preserve"> F, </w:t>
      </w:r>
      <w:proofErr w:type="spellStart"/>
      <w:r w:rsidRPr="00BD0685">
        <w:t>Morenghi</w:t>
      </w:r>
      <w:proofErr w:type="spellEnd"/>
      <w:r w:rsidRPr="00BD0685">
        <w:t xml:space="preserve"> E, </w:t>
      </w:r>
      <w:proofErr w:type="spellStart"/>
      <w:r w:rsidRPr="00BD0685">
        <w:t>Piredda</w:t>
      </w:r>
      <w:proofErr w:type="spellEnd"/>
      <w:r w:rsidRPr="00BD0685">
        <w:t xml:space="preserve"> M, De </w:t>
      </w:r>
      <w:proofErr w:type="spellStart"/>
      <w:r w:rsidRPr="00BD0685">
        <w:t>Marinis</w:t>
      </w:r>
      <w:proofErr w:type="spellEnd"/>
      <w:r w:rsidRPr="00BD0685">
        <w:t xml:space="preserve"> MG. Dysphagia screening post-stroke: systematic review. BMJ Support </w:t>
      </w:r>
      <w:proofErr w:type="spellStart"/>
      <w:r w:rsidRPr="00BD0685">
        <w:t>Palliat</w:t>
      </w:r>
      <w:proofErr w:type="spellEnd"/>
      <w:r w:rsidRPr="00BD0685">
        <w:t xml:space="preserve"> Care. 2023. doi:10.1136/spcare-2022-004144 </w:t>
      </w:r>
    </w:p>
    <w:p w:rsidR="00BD0685" w:rsidRPr="00BD0685" w:rsidRDefault="00BD0685" w:rsidP="00240BFA">
      <w:pPr>
        <w:pStyle w:val="Body"/>
        <w:numPr>
          <w:ilvl w:val="0"/>
          <w:numId w:val="18"/>
        </w:numPr>
      </w:pPr>
      <w:proofErr w:type="spellStart"/>
      <w:r w:rsidRPr="00BD0685">
        <w:t>Mulyatsih</w:t>
      </w:r>
      <w:proofErr w:type="spellEnd"/>
      <w:r w:rsidRPr="00BD0685">
        <w:t xml:space="preserve"> E, </w:t>
      </w:r>
      <w:proofErr w:type="spellStart"/>
      <w:r w:rsidRPr="00BD0685">
        <w:t>Pandin</w:t>
      </w:r>
      <w:proofErr w:type="spellEnd"/>
      <w:r w:rsidRPr="00BD0685">
        <w:t xml:space="preserve"> MG. Dysphagia screening protocol for acute stroke patient: a literature review. Preprints. 2021. doi:10.20944/PREPRINTS202104.0476.V1 </w:t>
      </w:r>
    </w:p>
    <w:p w:rsidR="00BD0685" w:rsidRPr="00BD0685" w:rsidRDefault="00BD0685" w:rsidP="00240BFA">
      <w:pPr>
        <w:pStyle w:val="Body"/>
        <w:numPr>
          <w:ilvl w:val="0"/>
          <w:numId w:val="18"/>
        </w:numPr>
      </w:pPr>
      <w:r w:rsidRPr="00BD0685">
        <w:t xml:space="preserve">Park K, Kim TH, Lee SH. The </w:t>
      </w:r>
      <w:proofErr w:type="spellStart"/>
      <w:r w:rsidRPr="00BD0685">
        <w:t>Gugging</w:t>
      </w:r>
      <w:proofErr w:type="spellEnd"/>
      <w:r w:rsidRPr="00BD0685">
        <w:t xml:space="preserve"> Swallowing Screen in dysphagia screening for patients with stroke: a systematic review. </w:t>
      </w:r>
      <w:proofErr w:type="spellStart"/>
      <w:r w:rsidRPr="00BD0685">
        <w:t>Int</w:t>
      </w:r>
      <w:proofErr w:type="spellEnd"/>
      <w:r w:rsidRPr="00BD0685">
        <w:t xml:space="preserve"> J </w:t>
      </w:r>
      <w:proofErr w:type="spellStart"/>
      <w:r w:rsidRPr="00BD0685">
        <w:t>Nurs</w:t>
      </w:r>
      <w:proofErr w:type="spellEnd"/>
      <w:r w:rsidRPr="00BD0685">
        <w:t xml:space="preserve"> Stud. 2020. doi:10.1016/j.ijnurstu.2020.103588 </w:t>
      </w:r>
    </w:p>
    <w:p w:rsidR="00BD0685" w:rsidRPr="00BD0685" w:rsidRDefault="00BD0685" w:rsidP="00240BFA">
      <w:pPr>
        <w:pStyle w:val="Body"/>
        <w:numPr>
          <w:ilvl w:val="0"/>
          <w:numId w:val="18"/>
        </w:numPr>
      </w:pPr>
      <w:r w:rsidRPr="00BD0685">
        <w:t>Sherman V, Greco E, Martino R. The benefit of dysphagia screening in adult patients with stroke: a meta-analysis. J Am Heart Assoc. 2021</w:t>
      </w:r>
      <w:proofErr w:type="gramStart"/>
      <w:r w:rsidRPr="00BD0685">
        <w:t>;10</w:t>
      </w:r>
      <w:proofErr w:type="gramEnd"/>
      <w:r w:rsidRPr="00BD0685">
        <w:t xml:space="preserve">(12). doi:10.1161/JAHA.120.018753 </w:t>
      </w:r>
    </w:p>
    <w:p w:rsidR="00BD0685" w:rsidRPr="00BD0685" w:rsidRDefault="00BD0685" w:rsidP="00240BFA">
      <w:pPr>
        <w:pStyle w:val="Body"/>
        <w:numPr>
          <w:ilvl w:val="0"/>
          <w:numId w:val="18"/>
        </w:numPr>
      </w:pPr>
      <w:r w:rsidRPr="00BD0685">
        <w:t xml:space="preserve">Song W, Wu M, Wang H, Pang R, Zhu L. Prevalence, risk factors, and outcomes of dysphagia after stroke: a systematic review and meta-analysis. Front Neurol. 2024. doi:10.3389/fneur.2024.1403610 </w:t>
      </w:r>
    </w:p>
    <w:p w:rsidR="00BD0685" w:rsidRPr="00BD0685" w:rsidRDefault="00BD0685" w:rsidP="00240BFA">
      <w:pPr>
        <w:pStyle w:val="Body"/>
        <w:numPr>
          <w:ilvl w:val="0"/>
          <w:numId w:val="18"/>
        </w:numPr>
      </w:pPr>
      <w:r w:rsidRPr="00BD0685">
        <w:t xml:space="preserve">Speyer R, </w:t>
      </w:r>
      <w:proofErr w:type="spellStart"/>
      <w:r w:rsidRPr="00BD0685">
        <w:t>Cordier</w:t>
      </w:r>
      <w:proofErr w:type="spellEnd"/>
      <w:r w:rsidRPr="00BD0685">
        <w:t xml:space="preserve"> R, </w:t>
      </w:r>
      <w:proofErr w:type="spellStart"/>
      <w:r w:rsidRPr="00BD0685">
        <w:t>Farneti</w:t>
      </w:r>
      <w:proofErr w:type="spellEnd"/>
      <w:r w:rsidRPr="00BD0685">
        <w:t xml:space="preserve"> D, </w:t>
      </w:r>
      <w:proofErr w:type="spellStart"/>
      <w:r w:rsidRPr="00BD0685">
        <w:t>Nascimento</w:t>
      </w:r>
      <w:proofErr w:type="spellEnd"/>
      <w:r w:rsidRPr="00BD0685">
        <w:t xml:space="preserve"> W, </w:t>
      </w:r>
      <w:proofErr w:type="spellStart"/>
      <w:r w:rsidRPr="00BD0685">
        <w:t>Pilz</w:t>
      </w:r>
      <w:proofErr w:type="spellEnd"/>
      <w:r w:rsidRPr="00BD0685">
        <w:t xml:space="preserve"> W, </w:t>
      </w:r>
      <w:proofErr w:type="spellStart"/>
      <w:r w:rsidRPr="00BD0685">
        <w:t>Vérin</w:t>
      </w:r>
      <w:proofErr w:type="spellEnd"/>
      <w:r w:rsidRPr="00BD0685">
        <w:t xml:space="preserve"> E, et al. White paper by the European Society for Swallowing Disorders: screening and non-instrumental assessment for dysphagia in adults. Dysphagia. 2021. doi:10.1007/s00455-021-10283-7 </w:t>
      </w:r>
    </w:p>
    <w:p w:rsidR="00BD0685" w:rsidRPr="00BD0685" w:rsidRDefault="00BD0685" w:rsidP="00240BFA">
      <w:pPr>
        <w:pStyle w:val="Body"/>
        <w:numPr>
          <w:ilvl w:val="0"/>
          <w:numId w:val="18"/>
        </w:numPr>
      </w:pPr>
      <w:r w:rsidRPr="00BD0685">
        <w:t xml:space="preserve">Yang S, </w:t>
      </w:r>
      <w:proofErr w:type="spellStart"/>
      <w:r w:rsidRPr="00BD0685">
        <w:t>Choo</w:t>
      </w:r>
      <w:proofErr w:type="spellEnd"/>
      <w:r w:rsidRPr="00BD0685">
        <w:t xml:space="preserve"> YJ, Chang MC. The preventive effect of dysphagia screening on pneumonia in acute stroke patients: a systematic review and meta-analysis. Healthcare. 2021</w:t>
      </w:r>
      <w:proofErr w:type="gramStart"/>
      <w:r w:rsidRPr="00BD0685">
        <w:t>;9</w:t>
      </w:r>
      <w:proofErr w:type="gramEnd"/>
      <w:r w:rsidRPr="00BD0685">
        <w:t xml:space="preserve">(12):1764. doi:10.3390/healthcare9121764 </w:t>
      </w:r>
    </w:p>
    <w:p w:rsidR="00BD0685" w:rsidRPr="00BD0685" w:rsidRDefault="00BD0685" w:rsidP="00BD0685">
      <w:pPr>
        <w:pStyle w:val="Body"/>
      </w:pPr>
    </w:p>
    <w:p w:rsidR="00BD0685" w:rsidRPr="00BD0685" w:rsidRDefault="00BD0685" w:rsidP="00BD0685">
      <w:pPr>
        <w:pStyle w:val="Body"/>
      </w:pPr>
    </w:p>
    <w:p w:rsidR="00441E67" w:rsidRPr="00BD0685" w:rsidRDefault="00441E67" w:rsidP="00BD0685">
      <w:pPr>
        <w:pStyle w:val="Body"/>
      </w:pPr>
    </w:p>
    <w:sectPr w:rsidR="00441E67" w:rsidRPr="00BD0685"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99" w:rsidRDefault="00251799" w:rsidP="005146DA">
      <w:pPr>
        <w:spacing w:after="0" w:line="240" w:lineRule="auto"/>
      </w:pPr>
      <w:r>
        <w:separator/>
      </w:r>
    </w:p>
  </w:endnote>
  <w:endnote w:type="continuationSeparator" w:id="0">
    <w:p w:rsidR="00251799" w:rsidRDefault="00251799"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99" w:rsidRDefault="00251799" w:rsidP="005146DA">
      <w:pPr>
        <w:spacing w:after="0" w:line="240" w:lineRule="auto"/>
      </w:pPr>
      <w:r>
        <w:separator/>
      </w:r>
    </w:p>
  </w:footnote>
  <w:footnote w:type="continuationSeparator" w:id="0">
    <w:p w:rsidR="00251799" w:rsidRDefault="00251799"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CA5B8B">
          <w:rPr>
            <w:rStyle w:val="BodyChar"/>
            <w:rFonts w:cstheme="majorBidi"/>
            <w:color w:val="074F6A"/>
            <w:sz w:val="18"/>
            <w:vertAlign w:val="subscript"/>
          </w:rPr>
          <w:t>1996</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CA5B8B" w:rsidRPr="00CA5B8B">
          <w:rPr>
            <w:rStyle w:val="BodyChar"/>
            <w:rFonts w:cstheme="majorBidi"/>
            <w:noProof/>
            <w:color w:val="074F6A"/>
            <w:vertAlign w:val="subscript"/>
          </w:rPr>
          <w:t>9</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CA5B8B" w:rsidRPr="00CA5B8B">
      <w:rPr>
        <w:rFonts w:ascii="Plantagenet Cherokee" w:hAnsi="Plantagenet Cherokee"/>
        <w:color w:val="0B769F" w:themeColor="accent4" w:themeShade="BF"/>
        <w:sz w:val="14"/>
        <w:szCs w:val="14"/>
      </w:rPr>
      <w:t>10.61919/jhrr.v6i3.1996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065379"/>
    <w:multiLevelType w:val="multilevel"/>
    <w:tmpl w:val="4054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7">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8001E"/>
    <w:multiLevelType w:val="hybridMultilevel"/>
    <w:tmpl w:val="47587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7"/>
  </w:num>
  <w:num w:numId="4">
    <w:abstractNumId w:val="13"/>
  </w:num>
  <w:num w:numId="5">
    <w:abstractNumId w:val="14"/>
  </w:num>
  <w:num w:numId="6">
    <w:abstractNumId w:val="3"/>
  </w:num>
  <w:num w:numId="7">
    <w:abstractNumId w:val="16"/>
  </w:num>
  <w:num w:numId="8">
    <w:abstractNumId w:val="9"/>
  </w:num>
  <w:num w:numId="9">
    <w:abstractNumId w:val="1"/>
  </w:num>
  <w:num w:numId="10">
    <w:abstractNumId w:val="12"/>
  </w:num>
  <w:num w:numId="11">
    <w:abstractNumId w:val="2"/>
  </w:num>
  <w:num w:numId="12">
    <w:abstractNumId w:val="0"/>
  </w:num>
  <w:num w:numId="13">
    <w:abstractNumId w:val="5"/>
  </w:num>
  <w:num w:numId="14">
    <w:abstractNumId w:val="8"/>
  </w:num>
  <w:num w:numId="15">
    <w:abstractNumId w:val="17"/>
  </w:num>
  <w:num w:numId="16">
    <w:abstractNumId w:val="10"/>
  </w:num>
  <w:num w:numId="17">
    <w:abstractNumId w:val="4"/>
  </w:num>
  <w:num w:numId="1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85"/>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0BFA"/>
    <w:rsid w:val="002411BB"/>
    <w:rsid w:val="002411EA"/>
    <w:rsid w:val="00242689"/>
    <w:rsid w:val="00244591"/>
    <w:rsid w:val="00246D74"/>
    <w:rsid w:val="00247F76"/>
    <w:rsid w:val="00250B28"/>
    <w:rsid w:val="00251799"/>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B581B"/>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0685"/>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5B8B"/>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5:chartTrackingRefBased/>
  <w15:docId w15:val="{AC6DB9EB-DDC4-4667-B9BD-DDB3D547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19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C0A4C-38C2-4619-BD71-A6C075E4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35</TotalTime>
  <Pages>9</Pages>
  <Words>5281</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2</cp:revision>
  <cp:lastPrinted>2026-04-24T11:38:00Z</cp:lastPrinted>
  <dcterms:created xsi:type="dcterms:W3CDTF">2026-06-02T07:42:00Z</dcterms:created>
  <dcterms:modified xsi:type="dcterms:W3CDTF">2026-06-03T09:27:00Z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