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1B5" w:rsidRPr="0074006B" w:rsidRDefault="00EB21B5" w:rsidP="00FB11F4">
      <w:pPr>
        <w:pStyle w:val="NoSpacing"/>
        <w:spacing w:before="75" w:after="75"/>
        <w:rPr>
          <w:rFonts w:ascii="Plantagenet Cherokee" w:hAnsi="Plantagenet Cherokee" w:cstheme="majorBidi"/>
          <w:i/>
          <w:iCs/>
          <w:color w:val="000000" w:themeColor="text1"/>
          <w:sz w:val="16"/>
          <w:szCs w:val="16"/>
        </w:rPr>
      </w:pPr>
      <w:r w:rsidRPr="0074006B">
        <w:rPr>
          <w:rFonts w:ascii="Plantagenet Cherokee" w:hAnsi="Plantagenet Cherokee" w:cstheme="majorBidi"/>
          <w:i/>
          <w:iCs/>
          <w:color w:val="000000" w:themeColor="text1"/>
          <w:sz w:val="16"/>
          <w:szCs w:val="16"/>
        </w:rPr>
        <w:t>Original Article</w:t>
      </w:r>
    </w:p>
    <w:p w:rsidR="005C4F64" w:rsidRPr="00BB7230" w:rsidRDefault="007D28BB" w:rsidP="00335DDB">
      <w:pPr>
        <w:pStyle w:val="Body"/>
        <w:tabs>
          <w:tab w:val="left" w:pos="3888"/>
        </w:tabs>
        <w:spacing w:line="240" w:lineRule="auto"/>
        <w:rPr>
          <w:rFonts w:cstheme="majorBidi"/>
          <w:b/>
          <w:bCs/>
          <w:color w:val="000000" w:themeColor="text1"/>
          <w:sz w:val="36"/>
          <w:szCs w:val="36"/>
        </w:rPr>
      </w:pPr>
      <w:r w:rsidRPr="007D28BB">
        <w:rPr>
          <w:rFonts w:cstheme="majorBidi"/>
          <w:b/>
          <w:bCs/>
          <w:color w:val="000000" w:themeColor="text1"/>
          <w:sz w:val="36"/>
          <w:szCs w:val="36"/>
        </w:rPr>
        <w:t xml:space="preserve">Functional Recovery and Determinants of Poor Clinical Outcome </w:t>
      </w:r>
      <w:proofErr w:type="gramStart"/>
      <w:r w:rsidRPr="007D28BB">
        <w:rPr>
          <w:rFonts w:cstheme="majorBidi"/>
          <w:b/>
          <w:bCs/>
          <w:color w:val="000000" w:themeColor="text1"/>
          <w:sz w:val="36"/>
          <w:szCs w:val="36"/>
        </w:rPr>
        <w:t>After</w:t>
      </w:r>
      <w:proofErr w:type="gramEnd"/>
      <w:r w:rsidRPr="007D28BB">
        <w:rPr>
          <w:rFonts w:cstheme="majorBidi"/>
          <w:b/>
          <w:bCs/>
          <w:color w:val="000000" w:themeColor="text1"/>
          <w:sz w:val="36"/>
          <w:szCs w:val="36"/>
        </w:rPr>
        <w:t xml:space="preserve"> Traumatic Brain Injury: A Prospective Cohort S</w:t>
      </w:r>
      <w:r>
        <w:rPr>
          <w:rFonts w:cstheme="majorBidi"/>
          <w:b/>
          <w:bCs/>
          <w:color w:val="000000" w:themeColor="text1"/>
          <w:sz w:val="36"/>
          <w:szCs w:val="36"/>
        </w:rPr>
        <w:t>tudy at Lahore General Hospital</w:t>
      </w:r>
    </w:p>
    <w:p w:rsidR="00E202E9" w:rsidRPr="00BB7230" w:rsidRDefault="007C1877" w:rsidP="007C1877">
      <w:pPr>
        <w:pStyle w:val="Body"/>
        <w:spacing w:before="75" w:after="100"/>
        <w:rPr>
          <w:rFonts w:cstheme="majorBidi"/>
          <w:b/>
          <w:bCs/>
          <w:color w:val="074F6A" w:themeColor="accent4" w:themeShade="80"/>
          <w:sz w:val="24"/>
          <w:szCs w:val="24"/>
        </w:rPr>
      </w:pPr>
      <w:r w:rsidRPr="007C1877">
        <w:rPr>
          <w:rFonts w:cstheme="majorBidi"/>
          <w:b/>
          <w:bCs/>
          <w:color w:val="074F6A" w:themeColor="accent4" w:themeShade="80"/>
          <w:sz w:val="24"/>
          <w:szCs w:val="24"/>
        </w:rPr>
        <w:t xml:space="preserve">Dr. </w:t>
      </w:r>
      <w:r w:rsidR="007D28BB" w:rsidRPr="007D28BB">
        <w:rPr>
          <w:rFonts w:cstheme="majorBidi"/>
          <w:b/>
          <w:bCs/>
          <w:color w:val="074F6A" w:themeColor="accent4" w:themeShade="80"/>
          <w:sz w:val="24"/>
          <w:szCs w:val="24"/>
          <w:lang w:val="en-GB"/>
        </w:rPr>
        <w:t xml:space="preserve">Amina </w:t>
      </w:r>
      <w:proofErr w:type="spellStart"/>
      <w:r w:rsidR="007D28BB" w:rsidRPr="007D28BB">
        <w:rPr>
          <w:rFonts w:cstheme="majorBidi"/>
          <w:b/>
          <w:bCs/>
          <w:color w:val="074F6A" w:themeColor="accent4" w:themeShade="80"/>
          <w:sz w:val="24"/>
          <w:szCs w:val="24"/>
          <w:lang w:val="en-GB"/>
        </w:rPr>
        <w:t>javed</w:t>
      </w:r>
      <w:proofErr w:type="spellEnd"/>
      <w:r w:rsidR="007D28BB" w:rsidRPr="007D28BB">
        <w:rPr>
          <w:rFonts w:cstheme="majorBidi"/>
          <w:b/>
          <w:bCs/>
          <w:color w:val="074F6A" w:themeColor="accent4" w:themeShade="80"/>
          <w:sz w:val="24"/>
          <w:szCs w:val="24"/>
          <w:lang w:val="en-GB"/>
        </w:rPr>
        <w:t xml:space="preserve"> </w:t>
      </w:r>
      <w:r w:rsidRPr="007C1877">
        <w:rPr>
          <w:rFonts w:cstheme="majorBidi"/>
          <w:b/>
          <w:bCs/>
          <w:color w:val="074F6A" w:themeColor="accent4" w:themeShade="80"/>
          <w:sz w:val="24"/>
          <w:szCs w:val="24"/>
        </w:rPr>
        <w:t>¹</w:t>
      </w:r>
    </w:p>
    <w:p w:rsidR="00607EA1" w:rsidRPr="00BB7230" w:rsidRDefault="007C1877" w:rsidP="004175AC">
      <w:pPr>
        <w:pStyle w:val="Body"/>
        <w:spacing w:before="75" w:after="75" w:line="240" w:lineRule="auto"/>
        <w:rPr>
          <w:rFonts w:cstheme="majorBidi"/>
          <w:color w:val="000000" w:themeColor="text1"/>
          <w:sz w:val="18"/>
          <w:szCs w:val="16"/>
        </w:rPr>
      </w:pPr>
      <w:r w:rsidRPr="007C1877">
        <w:rPr>
          <w:rFonts w:cstheme="majorBidi"/>
          <w:color w:val="000000" w:themeColor="text1"/>
          <w:sz w:val="18"/>
          <w:szCs w:val="16"/>
        </w:rPr>
        <w:t>¹</w:t>
      </w:r>
      <w:r w:rsidR="007D28BB" w:rsidRPr="007D28BB">
        <w:rPr>
          <w:rFonts w:cstheme="majorBidi"/>
          <w:color w:val="000000" w:themeColor="text1"/>
          <w:sz w:val="18"/>
          <w:szCs w:val="16"/>
          <w:lang w:val="en-GB"/>
        </w:rPr>
        <w:t>University of Management and Sciences Lahore, Pakistan</w:t>
      </w:r>
      <w:r w:rsidRPr="007C1877">
        <w:rPr>
          <w:rFonts w:cstheme="majorBidi"/>
          <w:color w:val="000000" w:themeColor="text1"/>
          <w:sz w:val="18"/>
          <w:szCs w:val="16"/>
        </w:rPr>
        <w:t xml:space="preserve"> Pakistan</w:t>
      </w:r>
    </w:p>
    <w:p w:rsidR="006461E1" w:rsidRDefault="00ED10B5" w:rsidP="00A32C7B">
      <w:pPr>
        <w:pStyle w:val="Body"/>
        <w:jc w:val="left"/>
        <w:rPr>
          <w:rFonts w:cstheme="majorBidi"/>
          <w:b/>
          <w:bCs/>
          <w:color w:val="074F6A" w:themeColor="accent4" w:themeShade="80"/>
          <w:sz w:val="18"/>
          <w:szCs w:val="16"/>
          <w:lang w:val="pt-BR"/>
        </w:rPr>
      </w:pPr>
      <w:r w:rsidRPr="007C1877">
        <w:rPr>
          <w:rFonts w:cstheme="majorBidi"/>
          <w:b/>
          <w:bCs/>
          <w:color w:val="074F6A" w:themeColor="accent4" w:themeShade="80"/>
          <w:sz w:val="18"/>
          <w:szCs w:val="16"/>
          <w:lang w:val="pt-BR"/>
        </w:rPr>
        <w:t>*</w:t>
      </w:r>
      <w:r w:rsidR="00D74018" w:rsidRPr="007C1877">
        <w:rPr>
          <w:rFonts w:cstheme="majorBidi"/>
          <w:b/>
          <w:bCs/>
          <w:color w:val="074F6A" w:themeColor="accent4" w:themeShade="80"/>
          <w:sz w:val="18"/>
          <w:szCs w:val="16"/>
          <w:lang w:val="pt-BR"/>
        </w:rPr>
        <w:t xml:space="preserve">Correspondence: </w:t>
      </w:r>
      <w:r w:rsidR="007C1877" w:rsidRPr="007C1877">
        <w:rPr>
          <w:rFonts w:cstheme="majorBidi"/>
          <w:b/>
          <w:bCs/>
          <w:color w:val="074F6A" w:themeColor="accent4" w:themeShade="80"/>
          <w:sz w:val="18"/>
          <w:szCs w:val="16"/>
          <w:lang w:val="pt-BR"/>
        </w:rPr>
        <w:t xml:space="preserve">Dr. </w:t>
      </w:r>
      <w:r w:rsidR="007D28BB" w:rsidRPr="007D28BB">
        <w:rPr>
          <w:rFonts w:cstheme="majorBidi"/>
          <w:b/>
          <w:bCs/>
          <w:color w:val="074F6A" w:themeColor="accent4" w:themeShade="80"/>
          <w:sz w:val="18"/>
          <w:szCs w:val="16"/>
          <w:lang w:val="en-GB"/>
        </w:rPr>
        <w:t xml:space="preserve">Amina </w:t>
      </w:r>
      <w:proofErr w:type="spellStart"/>
      <w:r w:rsidR="007D28BB" w:rsidRPr="007D28BB">
        <w:rPr>
          <w:rFonts w:cstheme="majorBidi"/>
          <w:b/>
          <w:bCs/>
          <w:color w:val="074F6A" w:themeColor="accent4" w:themeShade="80"/>
          <w:sz w:val="18"/>
          <w:szCs w:val="16"/>
          <w:lang w:val="en-GB"/>
        </w:rPr>
        <w:t>javed</w:t>
      </w:r>
      <w:proofErr w:type="spellEnd"/>
      <w:r w:rsidR="007C1877" w:rsidRPr="007C1877">
        <w:rPr>
          <w:rFonts w:cstheme="majorBidi"/>
          <w:b/>
          <w:bCs/>
          <w:color w:val="074F6A" w:themeColor="accent4" w:themeShade="80"/>
          <w:sz w:val="18"/>
          <w:szCs w:val="16"/>
          <w:lang w:val="pt-BR"/>
        </w:rPr>
        <w:t xml:space="preserve">, </w:t>
      </w:r>
      <w:r w:rsidR="007D28BB" w:rsidRPr="007D28BB">
        <w:rPr>
          <w:rFonts w:cstheme="majorBidi"/>
          <w:b/>
          <w:bCs/>
          <w:color w:val="074F6A" w:themeColor="accent4" w:themeShade="80"/>
          <w:sz w:val="18"/>
          <w:szCs w:val="16"/>
          <w:lang w:val="en-GB"/>
        </w:rPr>
        <w:t>aminajaved477@gmail</w:t>
      </w:r>
      <w:r w:rsidR="007530B9" w:rsidRPr="007530B9">
        <w:rPr>
          <w:rFonts w:cstheme="majorBidi"/>
          <w:b/>
          <w:bCs/>
          <w:color w:val="074F6A" w:themeColor="accent4" w:themeShade="80"/>
          <w:sz w:val="18"/>
          <w:szCs w:val="16"/>
          <w:lang w:val="pt-BR"/>
        </w:rPr>
        <w:t>.com</w:t>
      </w:r>
    </w:p>
    <w:p w:rsidR="007530B9" w:rsidRDefault="007530B9" w:rsidP="007530B9">
      <w:pPr>
        <w:pStyle w:val="NoSpacing"/>
        <w:pBdr>
          <w:left w:val="single" w:sz="4" w:space="4" w:color="auto"/>
        </w:pBdr>
        <w:spacing w:line="276" w:lineRule="auto"/>
        <w:jc w:val="both"/>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pPr>
      <w:r>
        <w:rPr>
          <w:rFonts w:ascii="Plantagenet Cherokee" w:hAnsi="Plantagenet Cherokee" w:cstheme="majorBidi"/>
          <w:b/>
          <w:bCs/>
          <w:color w:val="FFFFFF" w:themeColor="background1"/>
          <w:sz w:val="14"/>
          <w:szCs w:val="14"/>
          <w:highlight w:val="darkCyan"/>
          <w14:shadow w14:blurRad="0" w14:dist="0" w14:dir="5400000" w14:sx="0" w14:sy="0" w14:kx="0" w14:ky="0" w14:algn="ctr">
            <w14:srgbClr w14:val="000000">
              <w14:alpha w14:val="51000"/>
            </w14:srgbClr>
          </w14:shadow>
        </w:rPr>
        <w:t>“</w:t>
      </w:r>
      <w:hyperlink r:id="rId8" w:history="1">
        <w:r w:rsidRPr="00794854">
          <w:rPr>
            <w:rStyle w:val="Hyperlink"/>
            <w:rFonts w:ascii="Plantagenet Cherokee" w:hAnsi="Plantagenet Cherokee" w:cstheme="majorBidi"/>
            <w:b/>
            <w:bCs/>
            <w:color w:val="FFFFFF" w:themeColor="background1"/>
            <w:sz w:val="14"/>
            <w:szCs w:val="14"/>
            <w:highlight w:val="darkCyan"/>
            <w:u w:val="none"/>
            <w14:shadow w14:blurRad="0" w14:dist="0" w14:dir="5400000" w14:sx="0" w14:sy="0" w14:kx="0" w14:ky="0" w14:algn="ctr">
              <w14:srgbClr w14:val="000000">
                <w14:alpha w14:val="51000"/>
              </w14:srgbClr>
            </w14:shadow>
          </w:rPr>
          <w:t>Cite this Article</w:t>
        </w:r>
      </w:hyperlink>
      <w:r w:rsidRPr="00794854">
        <w:rPr>
          <w:rFonts w:ascii="Plantagenet Cherokee" w:hAnsi="Plantagenet Cherokee" w:cstheme="majorBidi"/>
          <w:b/>
          <w:bCs/>
          <w:color w:val="FFFFFF" w:themeColor="background1"/>
          <w:sz w:val="14"/>
          <w:szCs w:val="14"/>
          <w:highlight w:val="darkCyan"/>
          <w14:shadow w14:blurRad="0" w14:dist="0" w14:dir="5400000" w14:sx="0" w14:sy="0" w14:kx="0" w14:ky="0" w14:algn="ctr">
            <w14:srgbClr w14:val="000000">
              <w14:alpha w14:val="51000"/>
            </w14:srgbClr>
          </w14:shadow>
        </w:rPr>
        <w:t>”</w:t>
      </w:r>
      <w:r w:rsidRPr="008F6C61">
        <w:rPr>
          <w:rFonts w:ascii="Plantagenet Cherokee" w:hAnsi="Plantagenet Cherokee" w:cstheme="majorBidi"/>
          <w:color w:val="E8E8E8" w:themeColor="background2"/>
          <w:sz w:val="14"/>
          <w:szCs w:val="14"/>
          <w14:shadow w14:blurRad="0" w14:dist="0" w14:dir="5400000" w14:sx="0" w14:sy="0" w14:kx="0" w14:ky="0" w14:algn="ctr">
            <w14:srgbClr w14:val="000000">
              <w14:alpha w14:val="51000"/>
            </w14:srgbClr>
          </w14:shadow>
        </w:rPr>
        <w:t xml:space="preserve"> </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Received</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07 </w:t>
      </w:r>
      <w:r w:rsidR="007D28BB">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February</w:t>
      </w:r>
      <w:r>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001D7633">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2026</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Accepted</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23 </w:t>
      </w:r>
      <w:r w:rsidR="007D28BB">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March</w:t>
      </w:r>
      <w:r w:rsidR="001D7633">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2026</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Published</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t>
      </w:r>
      <w:r w:rsidR="007D28BB">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30 April</w:t>
      </w:r>
      <w:r w:rsidR="001D7633">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2026</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w:t>
      </w:r>
    </w:p>
    <w:p w:rsidR="007530B9" w:rsidRPr="007530B9" w:rsidRDefault="007530B9" w:rsidP="007530B9">
      <w:pPr>
        <w:pStyle w:val="NoSpacing"/>
        <w:pBdr>
          <w:left w:val="single" w:sz="4" w:space="4" w:color="auto"/>
        </w:pBdr>
        <w:spacing w:line="276" w:lineRule="auto"/>
        <w:jc w:val="both"/>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pPr>
      <w:r w:rsidRPr="00BB7230">
        <w:rPr>
          <w:rFonts w:ascii="Plantagenet Cherokee" w:hAnsi="Plantagenet Cherokee" w:cstheme="majorBidi"/>
          <w:b/>
          <w:bCs/>
          <w:color w:val="074F6A" w:themeColor="accent4" w:themeShade="80"/>
          <w:sz w:val="14"/>
          <w:szCs w:val="14"/>
          <w14:shadow w14:blurRad="0" w14:dist="0" w14:dir="5400000" w14:sx="0" w14:sy="0" w14:kx="0" w14:ky="0" w14:algn="ctr">
            <w14:srgbClr w14:val="000000">
              <w14:alpha w14:val="51000"/>
            </w14:srgbClr>
          </w14:shadow>
        </w:rPr>
        <w:t xml:space="preserve">Author Contributions: </w:t>
      </w:r>
      <w:r w:rsidR="007D28BB">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Concept: AJ Design: AJ; Data Collection: AJ; Analysis: AJ; Drafting: AJ</w:t>
      </w:r>
      <w:r>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w:t>
      </w:r>
      <w:r w:rsidRPr="00BB7230">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 xml:space="preserve"> </w:t>
      </w:r>
      <w:r w:rsidRPr="00BB7230">
        <w:rPr>
          <w:rFonts w:ascii="Plantagenet Cherokee" w:hAnsi="Plantagenet Cherokee" w:cstheme="majorBidi"/>
          <w:b/>
          <w:bCs/>
          <w:color w:val="074F6A" w:themeColor="accent4" w:themeShade="80"/>
          <w:sz w:val="14"/>
          <w:szCs w:val="14"/>
          <w14:shadow w14:blurRad="0" w14:dist="0" w14:dir="5400000" w14:sx="0" w14:sy="0" w14:kx="0" w14:ky="0" w14:algn="ctr">
            <w14:srgbClr w14:val="000000">
              <w14:alpha w14:val="51000"/>
            </w14:srgbClr>
          </w14:shadow>
        </w:rPr>
        <w:t>Ethical Approval</w:t>
      </w:r>
      <w:r w:rsidRPr="00BB7230">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 xml:space="preserve">: </w:t>
      </w:r>
      <w:r w:rsidR="007D28BB" w:rsidRPr="007D28BB">
        <w:rPr>
          <w:rFonts w:ascii="Plantagenet Cherokee" w:hAnsi="Plantagenet Cherokee" w:cstheme="majorBidi"/>
          <w:color w:val="074F6A" w:themeColor="accent4" w:themeShade="80"/>
          <w:sz w:val="14"/>
          <w:szCs w:val="14"/>
          <w:lang w:val="en-US"/>
          <w14:shadow w14:blurRad="0" w14:dist="0" w14:dir="5400000" w14:sx="0" w14:sy="0" w14:kx="0" w14:ky="0" w14:algn="ctr">
            <w14:srgbClr w14:val="000000">
              <w14:alpha w14:val="51000"/>
            </w14:srgbClr>
          </w14:shadow>
        </w:rPr>
        <w:t>University of Managemen</w:t>
      </w:r>
      <w:r w:rsidR="007D28BB">
        <w:rPr>
          <w:rFonts w:ascii="Plantagenet Cherokee" w:hAnsi="Plantagenet Cherokee" w:cstheme="majorBidi"/>
          <w:color w:val="074F6A" w:themeColor="accent4" w:themeShade="80"/>
          <w:sz w:val="14"/>
          <w:szCs w:val="14"/>
          <w:lang w:val="en-US"/>
          <w14:shadow w14:blurRad="0" w14:dist="0" w14:dir="5400000" w14:sx="0" w14:sy="0" w14:kx="0" w14:ky="0" w14:algn="ctr">
            <w14:srgbClr w14:val="000000">
              <w14:alpha w14:val="51000"/>
            </w14:srgbClr>
          </w14:shadow>
        </w:rPr>
        <w:t xml:space="preserve">t and Sciences </w:t>
      </w:r>
      <w:bookmarkStart w:id="0" w:name="_GoBack"/>
      <w:bookmarkEnd w:id="0"/>
      <w:r w:rsidR="007D28BB">
        <w:rPr>
          <w:rFonts w:ascii="Plantagenet Cherokee" w:hAnsi="Plantagenet Cherokee" w:cstheme="majorBidi"/>
          <w:color w:val="074F6A" w:themeColor="accent4" w:themeShade="80"/>
          <w:sz w:val="14"/>
          <w:szCs w:val="14"/>
          <w:lang w:val="en-US"/>
          <w14:shadow w14:blurRad="0" w14:dist="0" w14:dir="5400000" w14:sx="0" w14:sy="0" w14:kx="0" w14:ky="0" w14:algn="ctr">
            <w14:srgbClr w14:val="000000">
              <w14:alpha w14:val="51000"/>
            </w14:srgbClr>
          </w14:shadow>
        </w:rPr>
        <w:t xml:space="preserve">Lahore, </w:t>
      </w:r>
      <w:r w:rsidRPr="007C1877">
        <w:rPr>
          <w:rFonts w:ascii="Plantagenet Cherokee" w:hAnsi="Plantagenet Cherokee" w:cstheme="majorBidi"/>
          <w:color w:val="074F6A" w:themeColor="accent4" w:themeShade="80"/>
          <w:sz w:val="14"/>
          <w:szCs w:val="14"/>
          <w14:shadow w14:blurRad="0" w14:dist="0" w14:dir="5400000" w14:sx="0" w14:sy="0" w14:kx="0" w14:ky="0" w14:algn="ctr">
            <w14:srgbClr w14:val="000000">
              <w14:alpha w14:val="51000"/>
            </w14:srgbClr>
          </w14:shadow>
        </w:rPr>
        <w:t>Pakistan</w:t>
      </w:r>
      <w:r>
        <w:rPr>
          <w:rFonts w:ascii="Plantagenet Cherokee" w:hAnsi="Plantagenet Cherokee" w:cstheme="majorBidi"/>
          <w:b/>
          <w:bCs/>
          <w:color w:val="074F6A" w:themeColor="accent4" w:themeShade="80"/>
          <w:sz w:val="14"/>
          <w:szCs w:val="14"/>
          <w14:shadow w14:blurRad="0" w14:dist="0" w14:dir="5400000" w14:sx="0" w14:sy="0" w14:kx="0" w14:ky="0" w14:algn="ctr">
            <w14:srgbClr w14:val="000000">
              <w14:alpha w14:val="51000"/>
            </w14:srgbClr>
          </w14:shadow>
        </w:rPr>
        <w:t xml:space="preserve">.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Informed Consent</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Written informed consent was obtained from all participants;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Conflict of Interest</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The authors declare no conflict of interest;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Funding</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xml:space="preserve">: No external funding; Data Availability: Available from the corresponding author on reasonable request; </w:t>
      </w:r>
      <w:r w:rsidRPr="007C1877">
        <w:rPr>
          <w:rFonts w:ascii="Plantagenet Cherokee" w:hAnsi="Plantagenet Cherokee" w:cstheme="majorBidi"/>
          <w:b/>
          <w:bCs/>
          <w:color w:val="000000" w:themeColor="text1"/>
          <w:sz w:val="14"/>
          <w:szCs w:val="14"/>
          <w14:shadow w14:blurRad="0" w14:dist="0" w14:dir="5400000" w14:sx="0" w14:sy="0" w14:kx="0" w14:ky="0" w14:algn="ctr">
            <w14:srgbClr w14:val="000000">
              <w14:alpha w14:val="51000"/>
            </w14:srgbClr>
          </w14:shadow>
        </w:rPr>
        <w:t>Acknowledgments</w:t>
      </w:r>
      <w:r w:rsidRPr="00BB7230">
        <w:rPr>
          <w:rFonts w:ascii="Plantagenet Cherokee" w:hAnsi="Plantagenet Cherokee" w:cstheme="majorBidi"/>
          <w:color w:val="000000" w:themeColor="text1"/>
          <w:sz w:val="14"/>
          <w:szCs w:val="14"/>
          <w14:shadow w14:blurRad="0" w14:dist="0" w14:dir="5400000" w14:sx="0" w14:sy="0" w14:kx="0" w14:ky="0" w14:algn="ctr">
            <w14:srgbClr w14:val="000000">
              <w14:alpha w14:val="51000"/>
            </w14:srgbClr>
          </w14:shadow>
        </w:rPr>
        <w:t>: N/A.</w:t>
      </w:r>
    </w:p>
    <w:p w:rsidR="00152188" w:rsidRPr="00BB7230" w:rsidRDefault="00152188" w:rsidP="007D28BB">
      <w:pPr>
        <w:pStyle w:val="Heading1"/>
      </w:pPr>
      <w:r w:rsidRPr="00BB7230">
        <w:t>Abstract</w:t>
      </w:r>
    </w:p>
    <w:p w:rsidR="007D28BB" w:rsidRPr="007D28BB" w:rsidRDefault="007D28BB" w:rsidP="007D28BB">
      <w:pPr>
        <w:pStyle w:val="Body"/>
      </w:pPr>
      <w:r w:rsidRPr="007D28BB">
        <w:t xml:space="preserve">Background: Traumatic brain injury is a major cause of long-term neurological disability, cognitive impairment, functional dependence, and reduced quality of life. Objective: To evaluate functional recovery and determinants of poor clinical outcome after traumatic brain injury among patients managed at Lahore General Hospital. Methods: This prospective cohort study included 54 patients with mild, moderate, or severe traumatic brain injury. Baseline demographic, clinical, radiological, neuropsychological, rehabilitation-related, and 12-month outcome variables were assessed. Poor clinical outcome was </w:t>
      </w:r>
      <w:proofErr w:type="spellStart"/>
      <w:r w:rsidRPr="007D28BB">
        <w:t>analyzed</w:t>
      </w:r>
      <w:proofErr w:type="spellEnd"/>
      <w:r w:rsidRPr="007D28BB">
        <w:t xml:space="preserve"> in relation to injury severity, admission Glasgow Coma Scale score, cranial CT findings, psychiatric history, sleep disturbance, employment status, education, and age. Results: </w:t>
      </w:r>
      <w:proofErr w:type="spellStart"/>
      <w:r w:rsidRPr="007D28BB">
        <w:t>Favorable</w:t>
      </w:r>
      <w:proofErr w:type="spellEnd"/>
      <w:r w:rsidRPr="007D28BB">
        <w:t xml:space="preserve"> functional recovery at 12 months was achieved in 36 patients (66.7%), while 18 patients (33.3%) had </w:t>
      </w:r>
      <w:proofErr w:type="spellStart"/>
      <w:r w:rsidRPr="007D28BB">
        <w:t>unfavorable</w:t>
      </w:r>
      <w:proofErr w:type="spellEnd"/>
      <w:r w:rsidRPr="007D28BB">
        <w:t xml:space="preserve"> outcomes. Independent ambulation was achieved in 39 patients (72.2%), return to employment in 29 (53.7%), and mortality occurred in 4 (7.4%). Significant predictors of poor outcome included unemployment after injury (OR 4.53, 95% CI 1.55–13.22), Glasgow Coma Scale ≤8 (OR 4.11, 95% CI 1.39–12.14), previous psychiatric history (OR 3.76, 95% CI 1.18–11.97), severe traumatic brain injury (OR 3.42, 95% CI 1.21–9.67), age &gt;45 years (OR 2.94, 95% CI 1.08–8.02), abnormal cranial CT findings (OR 2.88, 95% CI 1.02–8.13), and sleep disturbance (OR 2.69, 95% CI 1.01–7.14). Conclusion: Functional recovery after traumatic brain injury is influenced by neurological severity, radiological injury burden, psychiatric history, sleep disturbance, age, and post-injury occupational reintegration. Early risk stratification and multidisciplinary rehabilitation may improve long-term outcomes. Keywords: Traumatic brain injury; functional recovery; Glasgow Coma Scale; rehabilitation; poor clinical outcome; Lahore General Hospital. </w:t>
      </w:r>
      <w:r w:rsidRPr="007D28BB">
        <w:br w:type="page"/>
      </w:r>
    </w:p>
    <w:p w:rsidR="007D28BB" w:rsidRPr="007D28BB" w:rsidRDefault="007D28BB" w:rsidP="007D28BB">
      <w:pPr>
        <w:pStyle w:val="Heading1"/>
      </w:pPr>
      <w:r w:rsidRPr="007D28BB">
        <w:lastRenderedPageBreak/>
        <w:t>Introduction</w:t>
      </w:r>
    </w:p>
    <w:p w:rsidR="007D28BB" w:rsidRPr="007D28BB" w:rsidRDefault="007D28BB" w:rsidP="007D28BB">
      <w:pPr>
        <w:pStyle w:val="Body"/>
      </w:pPr>
      <w:r w:rsidRPr="007D28BB">
        <w:t>Traumatic brain injury (TBI) remains a major cause of long-term neurological disability, functional dependence, cognitive impairment, and reduced quality of life, particularly among patients requiring neurosurgical evaluation, intensive care, and structured rehabilitation. Recovery after TBI is highly variable and is influenced by injury severity, initial neurological status, radiological abnormalities, neurocognitive impairment, psychiatric history, sleep disturbance, and social reintegration factors such as return to employment. Although survival after TBI has improved because of advances in emergency care, neuroimaging, intensive care, and rehabilitation services, many survivors continue to experience persistent post-concussive symptoms, cognitive deficits, emotional disturbance, and impaired functional independence months after injury.</w:t>
      </w:r>
    </w:p>
    <w:p w:rsidR="007D28BB" w:rsidRPr="007D28BB" w:rsidRDefault="007D28BB" w:rsidP="007D28BB">
      <w:pPr>
        <w:pStyle w:val="Body"/>
      </w:pPr>
      <w:r w:rsidRPr="007D28BB">
        <w:t xml:space="preserve">Functional recovery is a multidimensional process that extends beyond physical survival and includes recovery of consciousness, independent ambulation, cognitive functioning, </w:t>
      </w:r>
      <w:proofErr w:type="gramStart"/>
      <w:r w:rsidRPr="007D28BB">
        <w:t>return</w:t>
      </w:r>
      <w:proofErr w:type="gramEnd"/>
      <w:r w:rsidRPr="007D28BB">
        <w:t xml:space="preserve"> to work, psychological adjustment, and health-related quality of life. Previous studies have shown that moderate to severe TBI is associated with heterogeneous recovery trajectories and that early clinical factors such as Glasgow Coma Scale score, injury severity, and neuroimaging findings can help predict long-term outcome. However, functional recovery is also shaped by post-acute factors, including participation in rehabilitation, sleep disturbance, psychiatric comorbidity, and socioeconomic reintegration. This makes prospective evaluation essential for identifying patients at greater risk of poor outcome and for guiding targeted multidisciplinary rehabilitation.</w:t>
      </w:r>
    </w:p>
    <w:p w:rsidR="007D28BB" w:rsidRPr="007D28BB" w:rsidRDefault="007D28BB" w:rsidP="007D28BB">
      <w:pPr>
        <w:pStyle w:val="Body"/>
      </w:pPr>
      <w:r w:rsidRPr="007D28BB">
        <w:t>Despite growing international evidence, local prospective data from tertiary care hospitals remain limited, especially in settings where neurosurgical care, rehabilitation medicine, and nursing follow-up are delivered within the same institutional pathway. The present study addresses this gap by evaluating functional recovery and determinants of poor clinical outcome among patients with traumatic brain injury managed at Lahore General Hospital. In this cohort of 54 patients, the study assessed baseline clinical characteristics, comorbidities, rehabilitation-related variables, 12-month functional outcomes, and predictors of unfavorable recovery, including severe TBI, Glasgow Coma Scale ≤8, abnormal cranial CT findings, previous psychiatric history, unemployment after injury, sleep disturbance, and age &gt;45 years .</w:t>
      </w:r>
    </w:p>
    <w:p w:rsidR="007D28BB" w:rsidRPr="007D28BB" w:rsidRDefault="007D28BB" w:rsidP="007D28BB">
      <w:pPr>
        <w:pStyle w:val="Body"/>
      </w:pPr>
      <w:r w:rsidRPr="007D28BB">
        <w:t>Therefore, this study aimed to determine the pattern of functional recovery after traumatic brain injury and to identify clinical, neurological, psychological, and rehabilitation-associated predictors of poor outcome among patients treated at Lahore General Hospital. The primary research question was whether injury severity, admission neurological status, radiological abnormalities, psychiatric history, sleep disturbance, and post-injury employment status are associated with unfavorable functional outcome at 12 months following traumatic brain injury.</w:t>
      </w:r>
    </w:p>
    <w:p w:rsidR="007D28BB" w:rsidRPr="007D28BB" w:rsidRDefault="007D28BB" w:rsidP="007D28BB">
      <w:pPr>
        <w:pStyle w:val="Heading1"/>
      </w:pPr>
      <w:r w:rsidRPr="007D28BB">
        <w:t>Material and methods</w:t>
      </w:r>
    </w:p>
    <w:p w:rsidR="007D28BB" w:rsidRPr="007D28BB" w:rsidRDefault="007D28BB" w:rsidP="007D28BB">
      <w:pPr>
        <w:pStyle w:val="Body"/>
      </w:pPr>
      <w:r w:rsidRPr="007D28BB">
        <w:t>A prospective cohort study was conducted at Lahore General Hospital, Lahore, Pakistan, to evaluate functional recovery and determinants of poor clinical outcome among patients with traumatic brain injury. Eligible patients were enrolled after presentation to the neurosurgery service and were followed through acute care, discharge, rehabilitation, and 12-month outcome assessment. The study included 54 patients with mild, moderate, or severe traumatic brain injury, classified according to admission Glasgow Coma Scale score and clinical-radiological assessment. Patients with available baseline demographic, clinical, neuroimaging, rehabilitation, and follow-up outcome data were included, while cases with incomplete outcome assessment or insufficient clinical documentation were excluded.</w:t>
      </w:r>
    </w:p>
    <w:p w:rsidR="007D28BB" w:rsidRPr="007D28BB" w:rsidRDefault="007D28BB" w:rsidP="007D28BB">
      <w:pPr>
        <w:pStyle w:val="Body"/>
      </w:pPr>
      <w:r w:rsidRPr="007D28BB">
        <w:t xml:space="preserve">Participants were recruited consecutively after initial stabilization, and informed consent was obtained from patients or legally authorized attendants where direct consent was not possible because of impaired consciousness. Baseline data included age, sex, body mass index, injury severity, Glasgow Coma Scale score at admission, duration of hospital stay, intensive care admission, need for mechanical ventilation, cranial CT findings, intracranial hemorrhage, loss of consciousness, employment status before injury, educational level, and previous psychiatric history. Comorbidities and recovery-related variables included hypertension, diabetes mellitus, cardiovascular disease, smoking history, alcohol misuse, sleep disturbance, cognitive impairment at discharge, executive dysfunction, anxiety symptoms, depressive symptoms, functional dependency at discharge, delayed return to work, persistent post-concussive symptoms, rehabilitation participation, and discharge </w:t>
      </w:r>
      <w:proofErr w:type="gramStart"/>
      <w:r w:rsidRPr="007D28BB">
        <w:t>status .</w:t>
      </w:r>
      <w:proofErr w:type="gramEnd"/>
    </w:p>
    <w:p w:rsidR="007D28BB" w:rsidRPr="007D28BB" w:rsidRDefault="007D28BB" w:rsidP="007D28BB">
      <w:pPr>
        <w:pStyle w:val="Body"/>
      </w:pPr>
      <w:r w:rsidRPr="007D28BB">
        <w:t xml:space="preserve">The primary outcome was poor clinical outcome at 12 months following traumatic brain injury, assessed using functional recovery status and unfavorable functional outcome classification. Secondary outcomes included </w:t>
      </w:r>
      <w:r w:rsidRPr="007D28BB">
        <w:lastRenderedPageBreak/>
        <w:t xml:space="preserve">recovery of consciousness among initially unconscious patients, independent ambulation, return to employment, persistent cognitive deficits, </w:t>
      </w:r>
      <w:proofErr w:type="gramStart"/>
      <w:r w:rsidRPr="007D28BB">
        <w:t>functional</w:t>
      </w:r>
      <w:proofErr w:type="gramEnd"/>
      <w:r w:rsidRPr="007D28BB">
        <w:t xml:space="preserve"> decline during follow-up, mortality, Glasgow Outcome Scale-Extended score, Functional Independence Measure improvement, length of rehabilitation stay, and quality-of-life physical and mental health scores. Functional recovery was treated as a multidimensional outcome incorporating neurological, physical, cognitive, psychological, and social reintegration domains.</w:t>
      </w:r>
    </w:p>
    <w:p w:rsidR="007D28BB" w:rsidRPr="007D28BB" w:rsidRDefault="007D28BB" w:rsidP="007D28BB">
      <w:pPr>
        <w:pStyle w:val="Body"/>
      </w:pPr>
      <w:r w:rsidRPr="007D28BB">
        <w:t>Data were collected using standardized clinical records, neurological assessment forms, radiological findings, rehabilitation documentation, and follow-up outcome assessments. To reduce measurement bias, baseline variables were recorded before final outcome classification, and outcome assessment was based on predefined clinical and functional criteria. Potential confounders included age, injury severity, admission Glasgow Coma Scale score, cranial CT abnormality, psychiatric history, sleep disturbance, education level, and employment status. These variables were considered clinically relevant because of their plausible association with functional recovery after traumatic brain injury.</w:t>
      </w:r>
    </w:p>
    <w:p w:rsidR="007D28BB" w:rsidRPr="007D28BB" w:rsidRDefault="007D28BB" w:rsidP="007D28BB">
      <w:pPr>
        <w:pStyle w:val="Body"/>
      </w:pPr>
      <w:r w:rsidRPr="007D28BB">
        <w:t>The sample size consisted of 54 patients, with 27 patients per comparison group, which was considered appropriate for an exploratory prospective cohort evaluating functional recovery and predictors of poor outcome in a tertiary care setting. Continuous variables were summarized as mean ± standard deviation or median with interquartile range, depending on distribution, while categorical variables were presented as frequencies and percentages. Associations between candidate predictors and poor clinical outcome were assessed using odds ratios with 95% confidence intervals and p-values. A p-value of less than 0.05 was considered statistically significant. Missing data were minimized through review of clinical records and follow-up documentation, and available complete outcome data were used for final analysis.</w:t>
      </w:r>
    </w:p>
    <w:p w:rsidR="007D28BB" w:rsidRPr="007D28BB" w:rsidRDefault="007D28BB" w:rsidP="007D28BB">
      <w:pPr>
        <w:pStyle w:val="Body"/>
      </w:pPr>
      <w:r w:rsidRPr="007D28BB">
        <w:t xml:space="preserve">Ethical approval was obtained according to institutional requirements, and patient confidentiality was maintained throughout data handling and analysis. All data were </w:t>
      </w:r>
      <w:proofErr w:type="spellStart"/>
      <w:r w:rsidRPr="007D28BB">
        <w:t>anonymized</w:t>
      </w:r>
      <w:proofErr w:type="spellEnd"/>
      <w:r w:rsidRPr="007D28BB">
        <w:t xml:space="preserve"> before analysis, and access was restricted to the study team. Data integrity was supported through cross-checking of demographic, clinical, radiological, rehabilitation, and follow-up variables before final statistical analysis. The study was conducted in accordance with standard observational research principles and was designed to ensure reproducibility through clear definition of eligibility criteria, exposure variables, outcome measures, follow-up timing, and statistical procedures.</w:t>
      </w:r>
    </w:p>
    <w:p w:rsidR="007D28BB" w:rsidRPr="007D28BB" w:rsidRDefault="007D28BB" w:rsidP="007D28BB">
      <w:pPr>
        <w:pStyle w:val="Heading1"/>
      </w:pPr>
      <w:r w:rsidRPr="007D28BB">
        <w:t>Results</w:t>
      </w:r>
    </w:p>
    <w:p w:rsidR="007D28BB" w:rsidRPr="007D28BB" w:rsidRDefault="007D28BB" w:rsidP="007D28BB">
      <w:pPr>
        <w:pStyle w:val="Body"/>
      </w:pPr>
      <w:r w:rsidRPr="007D28BB">
        <w:t xml:space="preserve">A total of 54 patients with traumatic brain injury were included in the final analysis. The mean age of the study population was 41.8 ± 15.2 years, and males constituted 64.8% of participants. Mild traumatic brain injury was observed in 38.9% of patients, while 29.6% and 31.5% had moderate and severe injury, respectively. The median Glasgow Coma Scale score at admission was 10 (IQR: 7–14). Intensive care admission was required in 44.4% of patients, mechanical ventilation in 33.3%, and abnormal cranial computed tomography findings were present in 72.2%. Intracranial hemorrhage was identified in 40.7% of cases, while loss of consciousness at presentation occurred in 57.4% of patients. Baseline demographic and clinical characteristics are summarized in Table </w:t>
      </w:r>
      <w:proofErr w:type="gramStart"/>
      <w:r w:rsidRPr="007D28BB">
        <w:t>1 .</w:t>
      </w:r>
      <w:proofErr w:type="gramEnd"/>
    </w:p>
    <w:p w:rsidR="007D28BB" w:rsidRPr="007D28BB" w:rsidRDefault="007D28BB" w:rsidP="007D28BB">
      <w:pPr>
        <w:pStyle w:val="Caption"/>
      </w:pPr>
      <w:r w:rsidRPr="007D28BB">
        <w:t xml:space="preserve">Table 1. Baseline Demographic and Clinical Characteristics of Patients </w:t>
      </w:r>
      <w:proofErr w:type="gramStart"/>
      <w:r w:rsidRPr="007D28BB">
        <w:t>With</w:t>
      </w:r>
      <w:proofErr w:type="gramEnd"/>
      <w:r w:rsidRPr="007D28BB">
        <w:t xml:space="preserve"> Traumatic Brain Injury (N = 54)</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4278"/>
        <w:gridCol w:w="300"/>
        <w:gridCol w:w="3351"/>
        <w:gridCol w:w="1098"/>
      </w:tblGrid>
      <w:tr w:rsidR="007D28BB" w:rsidRPr="007D28BB" w:rsidTr="007D28BB">
        <w:trPr>
          <w:tblHeader/>
          <w:tblCellSpacing w:w="0" w:type="dxa"/>
        </w:trPr>
        <w:tc>
          <w:tcPr>
            <w:tcW w:w="2370" w:type="pct"/>
            <w:tcBorders>
              <w:top w:val="single" w:sz="4" w:space="0" w:color="auto"/>
              <w:bottom w:val="single" w:sz="4" w:space="0" w:color="000000"/>
            </w:tcBorders>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Variable</w:t>
            </w:r>
          </w:p>
        </w:tc>
        <w:tc>
          <w:tcPr>
            <w:tcW w:w="166" w:type="pct"/>
            <w:tcBorders>
              <w:top w:val="single" w:sz="4" w:space="0" w:color="auto"/>
              <w:bottom w:val="single" w:sz="4" w:space="0" w:color="000000"/>
            </w:tcBorders>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n</w:t>
            </w:r>
          </w:p>
        </w:tc>
        <w:tc>
          <w:tcPr>
            <w:tcW w:w="1856" w:type="pct"/>
            <w:tcBorders>
              <w:top w:val="single" w:sz="4" w:space="0" w:color="auto"/>
              <w:bottom w:val="single" w:sz="4" w:space="0" w:color="000000"/>
            </w:tcBorders>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 / Mean ± SD / Median (IQR)</w:t>
            </w:r>
          </w:p>
        </w:tc>
        <w:tc>
          <w:tcPr>
            <w:tcW w:w="608" w:type="pct"/>
            <w:tcBorders>
              <w:top w:val="single" w:sz="4" w:space="0" w:color="auto"/>
              <w:bottom w:val="single" w:sz="4" w:space="0" w:color="000000"/>
            </w:tcBorders>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p-value</w:t>
            </w:r>
          </w:p>
        </w:tc>
      </w:tr>
      <w:tr w:rsidR="007D28BB" w:rsidRPr="007D28BB" w:rsidTr="007D28BB">
        <w:trPr>
          <w:tblCellSpacing w:w="0" w:type="dxa"/>
        </w:trPr>
        <w:tc>
          <w:tcPr>
            <w:tcW w:w="2370"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Age (years)</w:t>
            </w:r>
          </w:p>
        </w:tc>
        <w:tc>
          <w:tcPr>
            <w:tcW w:w="166"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54</w:t>
            </w:r>
          </w:p>
        </w:tc>
        <w:tc>
          <w:tcPr>
            <w:tcW w:w="1856"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41.8 ± 15.2</w:t>
            </w:r>
          </w:p>
        </w:tc>
        <w:tc>
          <w:tcPr>
            <w:tcW w:w="608"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w:t>
            </w:r>
          </w:p>
        </w:tc>
      </w:tr>
      <w:tr w:rsidR="007D28BB" w:rsidRPr="007D28BB" w:rsidTr="007D28BB">
        <w:trPr>
          <w:tblCellSpacing w:w="0" w:type="dxa"/>
        </w:trPr>
        <w:tc>
          <w:tcPr>
            <w:tcW w:w="2370"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Male sex</w:t>
            </w:r>
          </w:p>
        </w:tc>
        <w:tc>
          <w:tcPr>
            <w:tcW w:w="166"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35</w:t>
            </w:r>
          </w:p>
        </w:tc>
        <w:tc>
          <w:tcPr>
            <w:tcW w:w="1856"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64.8%</w:t>
            </w:r>
          </w:p>
        </w:tc>
        <w:tc>
          <w:tcPr>
            <w:tcW w:w="608"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0.041</w:t>
            </w:r>
          </w:p>
        </w:tc>
      </w:tr>
      <w:tr w:rsidR="007D28BB" w:rsidRPr="007D28BB" w:rsidTr="007D28BB">
        <w:trPr>
          <w:tblCellSpacing w:w="0" w:type="dxa"/>
        </w:trPr>
        <w:tc>
          <w:tcPr>
            <w:tcW w:w="2370"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Female sex</w:t>
            </w:r>
          </w:p>
        </w:tc>
        <w:tc>
          <w:tcPr>
            <w:tcW w:w="166"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19</w:t>
            </w:r>
          </w:p>
        </w:tc>
        <w:tc>
          <w:tcPr>
            <w:tcW w:w="1856"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35.2%</w:t>
            </w:r>
          </w:p>
        </w:tc>
        <w:tc>
          <w:tcPr>
            <w:tcW w:w="608"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Reference</w:t>
            </w:r>
          </w:p>
        </w:tc>
      </w:tr>
      <w:tr w:rsidR="007D28BB" w:rsidRPr="007D28BB" w:rsidTr="007D28BB">
        <w:trPr>
          <w:tblCellSpacing w:w="0" w:type="dxa"/>
        </w:trPr>
        <w:tc>
          <w:tcPr>
            <w:tcW w:w="2370"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Body mass index (kg/m²)</w:t>
            </w:r>
          </w:p>
        </w:tc>
        <w:tc>
          <w:tcPr>
            <w:tcW w:w="166"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54</w:t>
            </w:r>
          </w:p>
        </w:tc>
        <w:tc>
          <w:tcPr>
            <w:tcW w:w="1856"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26.1 ± 4.3</w:t>
            </w:r>
          </w:p>
        </w:tc>
        <w:tc>
          <w:tcPr>
            <w:tcW w:w="608"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0.118</w:t>
            </w:r>
          </w:p>
        </w:tc>
      </w:tr>
      <w:tr w:rsidR="007D28BB" w:rsidRPr="007D28BB" w:rsidTr="007D28BB">
        <w:trPr>
          <w:tblCellSpacing w:w="0" w:type="dxa"/>
        </w:trPr>
        <w:tc>
          <w:tcPr>
            <w:tcW w:w="2370"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Mild traumatic brain injury</w:t>
            </w:r>
          </w:p>
        </w:tc>
        <w:tc>
          <w:tcPr>
            <w:tcW w:w="166"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21</w:t>
            </w:r>
          </w:p>
        </w:tc>
        <w:tc>
          <w:tcPr>
            <w:tcW w:w="1856"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38.9%</w:t>
            </w:r>
          </w:p>
        </w:tc>
        <w:tc>
          <w:tcPr>
            <w:tcW w:w="608"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Reference</w:t>
            </w:r>
          </w:p>
        </w:tc>
      </w:tr>
      <w:tr w:rsidR="007D28BB" w:rsidRPr="007D28BB" w:rsidTr="007D28BB">
        <w:trPr>
          <w:tblCellSpacing w:w="0" w:type="dxa"/>
        </w:trPr>
        <w:tc>
          <w:tcPr>
            <w:tcW w:w="2370"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Moderate traumatic brain injury</w:t>
            </w:r>
          </w:p>
        </w:tc>
        <w:tc>
          <w:tcPr>
            <w:tcW w:w="166"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16</w:t>
            </w:r>
          </w:p>
        </w:tc>
        <w:tc>
          <w:tcPr>
            <w:tcW w:w="1856"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29.6%</w:t>
            </w:r>
          </w:p>
        </w:tc>
        <w:tc>
          <w:tcPr>
            <w:tcW w:w="608"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0.082</w:t>
            </w:r>
          </w:p>
        </w:tc>
      </w:tr>
      <w:tr w:rsidR="007D28BB" w:rsidRPr="007D28BB" w:rsidTr="007D28BB">
        <w:trPr>
          <w:tblCellSpacing w:w="0" w:type="dxa"/>
        </w:trPr>
        <w:tc>
          <w:tcPr>
            <w:tcW w:w="2370"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Severe traumatic brain injury</w:t>
            </w:r>
          </w:p>
        </w:tc>
        <w:tc>
          <w:tcPr>
            <w:tcW w:w="166"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17</w:t>
            </w:r>
          </w:p>
        </w:tc>
        <w:tc>
          <w:tcPr>
            <w:tcW w:w="1856"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31.5%</w:t>
            </w:r>
          </w:p>
        </w:tc>
        <w:tc>
          <w:tcPr>
            <w:tcW w:w="608"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0.020</w:t>
            </w:r>
          </w:p>
        </w:tc>
      </w:tr>
      <w:tr w:rsidR="007D28BB" w:rsidRPr="007D28BB" w:rsidTr="007D28BB">
        <w:trPr>
          <w:tblCellSpacing w:w="0" w:type="dxa"/>
        </w:trPr>
        <w:tc>
          <w:tcPr>
            <w:tcW w:w="2370"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Glasgow Coma Scale score at admission</w:t>
            </w:r>
          </w:p>
        </w:tc>
        <w:tc>
          <w:tcPr>
            <w:tcW w:w="166"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54</w:t>
            </w:r>
          </w:p>
        </w:tc>
        <w:tc>
          <w:tcPr>
            <w:tcW w:w="1856"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10 (7–14)</w:t>
            </w:r>
          </w:p>
        </w:tc>
        <w:tc>
          <w:tcPr>
            <w:tcW w:w="608"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0.011</w:t>
            </w:r>
          </w:p>
        </w:tc>
      </w:tr>
      <w:tr w:rsidR="007D28BB" w:rsidRPr="007D28BB" w:rsidTr="007D28BB">
        <w:trPr>
          <w:tblCellSpacing w:w="0" w:type="dxa"/>
        </w:trPr>
        <w:tc>
          <w:tcPr>
            <w:tcW w:w="2370"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Initial hospital stay (days)</w:t>
            </w:r>
          </w:p>
        </w:tc>
        <w:tc>
          <w:tcPr>
            <w:tcW w:w="166"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54</w:t>
            </w:r>
          </w:p>
        </w:tc>
        <w:tc>
          <w:tcPr>
            <w:tcW w:w="1856"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13.7 ± 6.1</w:t>
            </w:r>
          </w:p>
        </w:tc>
        <w:tc>
          <w:tcPr>
            <w:tcW w:w="608"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0.064</w:t>
            </w:r>
          </w:p>
        </w:tc>
      </w:tr>
      <w:tr w:rsidR="007D28BB" w:rsidRPr="007D28BB" w:rsidTr="007D28BB">
        <w:trPr>
          <w:tblCellSpacing w:w="0" w:type="dxa"/>
        </w:trPr>
        <w:tc>
          <w:tcPr>
            <w:tcW w:w="2370"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Intensive care admission</w:t>
            </w:r>
          </w:p>
        </w:tc>
        <w:tc>
          <w:tcPr>
            <w:tcW w:w="166"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24</w:t>
            </w:r>
          </w:p>
        </w:tc>
        <w:tc>
          <w:tcPr>
            <w:tcW w:w="1856"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44.4%</w:t>
            </w:r>
          </w:p>
        </w:tc>
        <w:tc>
          <w:tcPr>
            <w:tcW w:w="608"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0.038</w:t>
            </w:r>
          </w:p>
        </w:tc>
      </w:tr>
      <w:tr w:rsidR="007D28BB" w:rsidRPr="007D28BB" w:rsidTr="007D28BB">
        <w:trPr>
          <w:tblCellSpacing w:w="0" w:type="dxa"/>
        </w:trPr>
        <w:tc>
          <w:tcPr>
            <w:tcW w:w="2370"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Mechanical ventilation required</w:t>
            </w:r>
          </w:p>
        </w:tc>
        <w:tc>
          <w:tcPr>
            <w:tcW w:w="166"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18</w:t>
            </w:r>
          </w:p>
        </w:tc>
        <w:tc>
          <w:tcPr>
            <w:tcW w:w="1856"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33.3%</w:t>
            </w:r>
          </w:p>
        </w:tc>
        <w:tc>
          <w:tcPr>
            <w:tcW w:w="608"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0.029</w:t>
            </w:r>
          </w:p>
        </w:tc>
      </w:tr>
      <w:tr w:rsidR="007D28BB" w:rsidRPr="007D28BB" w:rsidTr="007D28BB">
        <w:trPr>
          <w:tblCellSpacing w:w="0" w:type="dxa"/>
        </w:trPr>
        <w:tc>
          <w:tcPr>
            <w:tcW w:w="2370"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Abnormal cranial CT findings</w:t>
            </w:r>
          </w:p>
        </w:tc>
        <w:tc>
          <w:tcPr>
            <w:tcW w:w="166"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39</w:t>
            </w:r>
          </w:p>
        </w:tc>
        <w:tc>
          <w:tcPr>
            <w:tcW w:w="1856"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72.2%</w:t>
            </w:r>
          </w:p>
        </w:tc>
        <w:tc>
          <w:tcPr>
            <w:tcW w:w="608"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0.045</w:t>
            </w:r>
          </w:p>
        </w:tc>
      </w:tr>
      <w:tr w:rsidR="007D28BB" w:rsidRPr="007D28BB" w:rsidTr="007D28BB">
        <w:trPr>
          <w:tblCellSpacing w:w="0" w:type="dxa"/>
        </w:trPr>
        <w:tc>
          <w:tcPr>
            <w:tcW w:w="2370"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Intracranial hemorrhage</w:t>
            </w:r>
          </w:p>
        </w:tc>
        <w:tc>
          <w:tcPr>
            <w:tcW w:w="166"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22</w:t>
            </w:r>
          </w:p>
        </w:tc>
        <w:tc>
          <w:tcPr>
            <w:tcW w:w="1856"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40.7%</w:t>
            </w:r>
          </w:p>
        </w:tc>
        <w:tc>
          <w:tcPr>
            <w:tcW w:w="608"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0.051</w:t>
            </w:r>
          </w:p>
        </w:tc>
      </w:tr>
      <w:tr w:rsidR="007D28BB" w:rsidRPr="007D28BB" w:rsidTr="007D28BB">
        <w:trPr>
          <w:tblCellSpacing w:w="0" w:type="dxa"/>
        </w:trPr>
        <w:tc>
          <w:tcPr>
            <w:tcW w:w="2370"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Loss of consciousness at presentation</w:t>
            </w:r>
          </w:p>
        </w:tc>
        <w:tc>
          <w:tcPr>
            <w:tcW w:w="166"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31</w:t>
            </w:r>
          </w:p>
        </w:tc>
        <w:tc>
          <w:tcPr>
            <w:tcW w:w="1856"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57.4%</w:t>
            </w:r>
          </w:p>
        </w:tc>
        <w:tc>
          <w:tcPr>
            <w:tcW w:w="608"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0.033</w:t>
            </w:r>
          </w:p>
        </w:tc>
      </w:tr>
      <w:tr w:rsidR="007D28BB" w:rsidRPr="007D28BB" w:rsidTr="007D28BB">
        <w:trPr>
          <w:tblCellSpacing w:w="0" w:type="dxa"/>
        </w:trPr>
        <w:tc>
          <w:tcPr>
            <w:tcW w:w="2370"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Employed before injury</w:t>
            </w:r>
          </w:p>
        </w:tc>
        <w:tc>
          <w:tcPr>
            <w:tcW w:w="166"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38</w:t>
            </w:r>
          </w:p>
        </w:tc>
        <w:tc>
          <w:tcPr>
            <w:tcW w:w="1856"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70.4%</w:t>
            </w:r>
          </w:p>
        </w:tc>
        <w:tc>
          <w:tcPr>
            <w:tcW w:w="608"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0.072</w:t>
            </w:r>
          </w:p>
        </w:tc>
      </w:tr>
      <w:tr w:rsidR="007D28BB" w:rsidRPr="007D28BB" w:rsidTr="007D28BB">
        <w:trPr>
          <w:tblCellSpacing w:w="0" w:type="dxa"/>
        </w:trPr>
        <w:tc>
          <w:tcPr>
            <w:tcW w:w="2370"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Previous psychiatric history</w:t>
            </w:r>
          </w:p>
        </w:tc>
        <w:tc>
          <w:tcPr>
            <w:tcW w:w="166"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11</w:t>
            </w:r>
          </w:p>
        </w:tc>
        <w:tc>
          <w:tcPr>
            <w:tcW w:w="1856"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20.4%</w:t>
            </w:r>
          </w:p>
        </w:tc>
        <w:tc>
          <w:tcPr>
            <w:tcW w:w="608"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0.025</w:t>
            </w:r>
          </w:p>
        </w:tc>
      </w:tr>
      <w:tr w:rsidR="007D28BB" w:rsidRPr="007D28BB" w:rsidTr="007D28BB">
        <w:trPr>
          <w:tblCellSpacing w:w="0" w:type="dxa"/>
        </w:trPr>
        <w:tc>
          <w:tcPr>
            <w:tcW w:w="2370" w:type="pct"/>
            <w:tcBorders>
              <w:bottom w:val="single" w:sz="4" w:space="0" w:color="auto"/>
            </w:tcBorders>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Educational level ≤ high school</w:t>
            </w:r>
          </w:p>
        </w:tc>
        <w:tc>
          <w:tcPr>
            <w:tcW w:w="166" w:type="pct"/>
            <w:tcBorders>
              <w:bottom w:val="single" w:sz="4" w:space="0" w:color="auto"/>
            </w:tcBorders>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28</w:t>
            </w:r>
          </w:p>
        </w:tc>
        <w:tc>
          <w:tcPr>
            <w:tcW w:w="1856" w:type="pct"/>
            <w:tcBorders>
              <w:bottom w:val="single" w:sz="4" w:space="0" w:color="auto"/>
            </w:tcBorders>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51.9%</w:t>
            </w:r>
          </w:p>
        </w:tc>
        <w:tc>
          <w:tcPr>
            <w:tcW w:w="608" w:type="pct"/>
            <w:tcBorders>
              <w:bottom w:val="single" w:sz="4" w:space="0" w:color="auto"/>
            </w:tcBorders>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0.071</w:t>
            </w:r>
          </w:p>
        </w:tc>
      </w:tr>
    </w:tbl>
    <w:p w:rsidR="007D28BB" w:rsidRPr="007D28BB" w:rsidRDefault="007D28BB" w:rsidP="007D28BB">
      <w:pPr>
        <w:pStyle w:val="Body"/>
      </w:pPr>
      <w:r w:rsidRPr="007D28BB">
        <w:t xml:space="preserve">Comorbid illnesses and rehabilitation-associated variables demonstrated a considerable burden of neuropsychological and functional impairment during recovery. Hypertension and diabetes mellitus were present </w:t>
      </w:r>
      <w:r w:rsidRPr="007D28BB">
        <w:lastRenderedPageBreak/>
        <w:t xml:space="preserve">in 25.9% and 16.7% of patients, respectively. Sleep disturbance during recovery occurred in 38.9%, while cognitive impairment at discharge and executive dysfunction were observed in 44.4% and 35.2% of patients, respectively. Anxiety symptoms affected 29.6% of participants, depressive symptoms were identified in 25.9%, and persistent post-concussive symptoms occurred in 42.6% of patients. Functional dependency at discharge was present in 31.5%, whereas delayed return to work beyond three months occurred in 37.0% of patients. Rehabilitation program participation was documented in 75.9% of the cohort. These findings are detailed in Table </w:t>
      </w:r>
      <w:proofErr w:type="gramStart"/>
      <w:r w:rsidRPr="007D28BB">
        <w:t>2 .</w:t>
      </w:r>
      <w:proofErr w:type="gramEnd"/>
    </w:p>
    <w:p w:rsidR="007D28BB" w:rsidRPr="007D28BB" w:rsidRDefault="007D28BB" w:rsidP="007D28BB">
      <w:pPr>
        <w:pStyle w:val="Caption"/>
      </w:pPr>
      <w:r w:rsidRPr="007D28BB">
        <w:t>Table 2. Clinical Comorbidities and Recovery-Related Variables (N = 54)</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153"/>
        <w:gridCol w:w="469"/>
        <w:gridCol w:w="1118"/>
        <w:gridCol w:w="1287"/>
      </w:tblGrid>
      <w:tr w:rsidR="007D28BB" w:rsidRPr="007D28BB" w:rsidTr="007D28BB">
        <w:trPr>
          <w:tblHeader/>
          <w:tblCellSpacing w:w="0" w:type="dxa"/>
        </w:trPr>
        <w:tc>
          <w:tcPr>
            <w:tcW w:w="3408" w:type="pct"/>
            <w:tcBorders>
              <w:top w:val="single" w:sz="4" w:space="0" w:color="auto"/>
              <w:bottom w:val="single" w:sz="4" w:space="0" w:color="000000"/>
            </w:tcBorders>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Variable</w:t>
            </w:r>
          </w:p>
        </w:tc>
        <w:tc>
          <w:tcPr>
            <w:tcW w:w="260" w:type="pct"/>
            <w:tcBorders>
              <w:top w:val="single" w:sz="4" w:space="0" w:color="auto"/>
              <w:bottom w:val="single" w:sz="4" w:space="0" w:color="000000"/>
            </w:tcBorders>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n</w:t>
            </w:r>
          </w:p>
        </w:tc>
        <w:tc>
          <w:tcPr>
            <w:tcW w:w="619" w:type="pct"/>
            <w:tcBorders>
              <w:top w:val="single" w:sz="4" w:space="0" w:color="auto"/>
              <w:bottom w:val="single" w:sz="4" w:space="0" w:color="000000"/>
            </w:tcBorders>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w:t>
            </w:r>
          </w:p>
        </w:tc>
        <w:tc>
          <w:tcPr>
            <w:tcW w:w="713" w:type="pct"/>
            <w:tcBorders>
              <w:top w:val="single" w:sz="4" w:space="0" w:color="auto"/>
              <w:bottom w:val="single" w:sz="4" w:space="0" w:color="000000"/>
            </w:tcBorders>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p-value</w:t>
            </w:r>
          </w:p>
        </w:tc>
      </w:tr>
      <w:tr w:rsidR="007D28BB" w:rsidRPr="007D28BB" w:rsidTr="007D28BB">
        <w:trPr>
          <w:tblCellSpacing w:w="0" w:type="dxa"/>
        </w:trPr>
        <w:tc>
          <w:tcPr>
            <w:tcW w:w="3408"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Hypertension</w:t>
            </w:r>
          </w:p>
        </w:tc>
        <w:tc>
          <w:tcPr>
            <w:tcW w:w="260"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14</w:t>
            </w:r>
          </w:p>
        </w:tc>
        <w:tc>
          <w:tcPr>
            <w:tcW w:w="619"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25.9%</w:t>
            </w:r>
          </w:p>
        </w:tc>
        <w:tc>
          <w:tcPr>
            <w:tcW w:w="713"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0.093</w:t>
            </w:r>
          </w:p>
        </w:tc>
      </w:tr>
      <w:tr w:rsidR="007D28BB" w:rsidRPr="007D28BB" w:rsidTr="007D28BB">
        <w:trPr>
          <w:tblCellSpacing w:w="0" w:type="dxa"/>
        </w:trPr>
        <w:tc>
          <w:tcPr>
            <w:tcW w:w="3408"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Diabetes mellitus</w:t>
            </w:r>
          </w:p>
        </w:tc>
        <w:tc>
          <w:tcPr>
            <w:tcW w:w="260"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9</w:t>
            </w:r>
          </w:p>
        </w:tc>
        <w:tc>
          <w:tcPr>
            <w:tcW w:w="619"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16.7%</w:t>
            </w:r>
          </w:p>
        </w:tc>
        <w:tc>
          <w:tcPr>
            <w:tcW w:w="713"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0.117</w:t>
            </w:r>
          </w:p>
        </w:tc>
      </w:tr>
      <w:tr w:rsidR="007D28BB" w:rsidRPr="007D28BB" w:rsidTr="007D28BB">
        <w:trPr>
          <w:tblCellSpacing w:w="0" w:type="dxa"/>
        </w:trPr>
        <w:tc>
          <w:tcPr>
            <w:tcW w:w="3408"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Cardiovascular disease</w:t>
            </w:r>
          </w:p>
        </w:tc>
        <w:tc>
          <w:tcPr>
            <w:tcW w:w="260"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6</w:t>
            </w:r>
          </w:p>
        </w:tc>
        <w:tc>
          <w:tcPr>
            <w:tcW w:w="619"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11.1%</w:t>
            </w:r>
          </w:p>
        </w:tc>
        <w:tc>
          <w:tcPr>
            <w:tcW w:w="713"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0.148</w:t>
            </w:r>
          </w:p>
        </w:tc>
      </w:tr>
      <w:tr w:rsidR="007D28BB" w:rsidRPr="007D28BB" w:rsidTr="007D28BB">
        <w:trPr>
          <w:tblCellSpacing w:w="0" w:type="dxa"/>
        </w:trPr>
        <w:tc>
          <w:tcPr>
            <w:tcW w:w="3408"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Smoking history</w:t>
            </w:r>
          </w:p>
        </w:tc>
        <w:tc>
          <w:tcPr>
            <w:tcW w:w="260"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18</w:t>
            </w:r>
          </w:p>
        </w:tc>
        <w:tc>
          <w:tcPr>
            <w:tcW w:w="619"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33.3%</w:t>
            </w:r>
          </w:p>
        </w:tc>
        <w:tc>
          <w:tcPr>
            <w:tcW w:w="713"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0.061</w:t>
            </w:r>
          </w:p>
        </w:tc>
      </w:tr>
      <w:tr w:rsidR="007D28BB" w:rsidRPr="007D28BB" w:rsidTr="007D28BB">
        <w:trPr>
          <w:tblCellSpacing w:w="0" w:type="dxa"/>
        </w:trPr>
        <w:tc>
          <w:tcPr>
            <w:tcW w:w="3408"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Alcohol misuse</w:t>
            </w:r>
          </w:p>
        </w:tc>
        <w:tc>
          <w:tcPr>
            <w:tcW w:w="260"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10</w:t>
            </w:r>
          </w:p>
        </w:tc>
        <w:tc>
          <w:tcPr>
            <w:tcW w:w="619"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18.5%</w:t>
            </w:r>
          </w:p>
        </w:tc>
        <w:tc>
          <w:tcPr>
            <w:tcW w:w="713"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0.084</w:t>
            </w:r>
          </w:p>
        </w:tc>
      </w:tr>
      <w:tr w:rsidR="007D28BB" w:rsidRPr="007D28BB" w:rsidTr="007D28BB">
        <w:trPr>
          <w:tblCellSpacing w:w="0" w:type="dxa"/>
        </w:trPr>
        <w:tc>
          <w:tcPr>
            <w:tcW w:w="3408"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Sleep disturbance during recovery</w:t>
            </w:r>
          </w:p>
        </w:tc>
        <w:tc>
          <w:tcPr>
            <w:tcW w:w="260"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21</w:t>
            </w:r>
          </w:p>
        </w:tc>
        <w:tc>
          <w:tcPr>
            <w:tcW w:w="619"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38.9%</w:t>
            </w:r>
          </w:p>
        </w:tc>
        <w:tc>
          <w:tcPr>
            <w:tcW w:w="713"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0.047</w:t>
            </w:r>
          </w:p>
        </w:tc>
      </w:tr>
      <w:tr w:rsidR="007D28BB" w:rsidRPr="007D28BB" w:rsidTr="007D28BB">
        <w:trPr>
          <w:tblCellSpacing w:w="0" w:type="dxa"/>
        </w:trPr>
        <w:tc>
          <w:tcPr>
            <w:tcW w:w="3408"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Cognitive impairment at discharge</w:t>
            </w:r>
          </w:p>
        </w:tc>
        <w:tc>
          <w:tcPr>
            <w:tcW w:w="260"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24</w:t>
            </w:r>
          </w:p>
        </w:tc>
        <w:tc>
          <w:tcPr>
            <w:tcW w:w="619"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44.4%</w:t>
            </w:r>
          </w:p>
        </w:tc>
        <w:tc>
          <w:tcPr>
            <w:tcW w:w="713"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0.032</w:t>
            </w:r>
          </w:p>
        </w:tc>
      </w:tr>
      <w:tr w:rsidR="007D28BB" w:rsidRPr="007D28BB" w:rsidTr="007D28BB">
        <w:trPr>
          <w:tblCellSpacing w:w="0" w:type="dxa"/>
        </w:trPr>
        <w:tc>
          <w:tcPr>
            <w:tcW w:w="3408"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Executive dysfunction</w:t>
            </w:r>
          </w:p>
        </w:tc>
        <w:tc>
          <w:tcPr>
            <w:tcW w:w="260"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19</w:t>
            </w:r>
          </w:p>
        </w:tc>
        <w:tc>
          <w:tcPr>
            <w:tcW w:w="619"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35.2%</w:t>
            </w:r>
          </w:p>
        </w:tc>
        <w:tc>
          <w:tcPr>
            <w:tcW w:w="713"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0.041</w:t>
            </w:r>
          </w:p>
        </w:tc>
      </w:tr>
      <w:tr w:rsidR="007D28BB" w:rsidRPr="007D28BB" w:rsidTr="007D28BB">
        <w:trPr>
          <w:tblCellSpacing w:w="0" w:type="dxa"/>
        </w:trPr>
        <w:tc>
          <w:tcPr>
            <w:tcW w:w="3408"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Anxiety symptoms</w:t>
            </w:r>
          </w:p>
        </w:tc>
        <w:tc>
          <w:tcPr>
            <w:tcW w:w="260"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16</w:t>
            </w:r>
          </w:p>
        </w:tc>
        <w:tc>
          <w:tcPr>
            <w:tcW w:w="619"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29.6%</w:t>
            </w:r>
          </w:p>
        </w:tc>
        <w:tc>
          <w:tcPr>
            <w:tcW w:w="713"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0.058</w:t>
            </w:r>
          </w:p>
        </w:tc>
      </w:tr>
      <w:tr w:rsidR="007D28BB" w:rsidRPr="007D28BB" w:rsidTr="007D28BB">
        <w:trPr>
          <w:tblCellSpacing w:w="0" w:type="dxa"/>
        </w:trPr>
        <w:tc>
          <w:tcPr>
            <w:tcW w:w="3408"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Depressive symptoms</w:t>
            </w:r>
          </w:p>
        </w:tc>
        <w:tc>
          <w:tcPr>
            <w:tcW w:w="260"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14</w:t>
            </w:r>
          </w:p>
        </w:tc>
        <w:tc>
          <w:tcPr>
            <w:tcW w:w="619"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25.9%</w:t>
            </w:r>
          </w:p>
        </w:tc>
        <w:tc>
          <w:tcPr>
            <w:tcW w:w="713"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0.066</w:t>
            </w:r>
          </w:p>
        </w:tc>
      </w:tr>
      <w:tr w:rsidR="007D28BB" w:rsidRPr="007D28BB" w:rsidTr="007D28BB">
        <w:trPr>
          <w:tblCellSpacing w:w="0" w:type="dxa"/>
        </w:trPr>
        <w:tc>
          <w:tcPr>
            <w:tcW w:w="3408"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Functional dependency at discharge</w:t>
            </w:r>
          </w:p>
        </w:tc>
        <w:tc>
          <w:tcPr>
            <w:tcW w:w="260"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17</w:t>
            </w:r>
          </w:p>
        </w:tc>
        <w:tc>
          <w:tcPr>
            <w:tcW w:w="619"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31.5%</w:t>
            </w:r>
          </w:p>
        </w:tc>
        <w:tc>
          <w:tcPr>
            <w:tcW w:w="713"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0.019</w:t>
            </w:r>
          </w:p>
        </w:tc>
      </w:tr>
      <w:tr w:rsidR="007D28BB" w:rsidRPr="007D28BB" w:rsidTr="007D28BB">
        <w:trPr>
          <w:tblCellSpacing w:w="0" w:type="dxa"/>
        </w:trPr>
        <w:tc>
          <w:tcPr>
            <w:tcW w:w="3408"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Delayed return to work (&gt;3 months)</w:t>
            </w:r>
          </w:p>
        </w:tc>
        <w:tc>
          <w:tcPr>
            <w:tcW w:w="260"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20</w:t>
            </w:r>
          </w:p>
        </w:tc>
        <w:tc>
          <w:tcPr>
            <w:tcW w:w="619"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37.0%</w:t>
            </w:r>
          </w:p>
        </w:tc>
        <w:tc>
          <w:tcPr>
            <w:tcW w:w="713"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0.006</w:t>
            </w:r>
          </w:p>
        </w:tc>
      </w:tr>
      <w:tr w:rsidR="007D28BB" w:rsidRPr="007D28BB" w:rsidTr="007D28BB">
        <w:trPr>
          <w:tblCellSpacing w:w="0" w:type="dxa"/>
        </w:trPr>
        <w:tc>
          <w:tcPr>
            <w:tcW w:w="3408"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Persistent post-concussive symptoms</w:t>
            </w:r>
          </w:p>
        </w:tc>
        <w:tc>
          <w:tcPr>
            <w:tcW w:w="260"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23</w:t>
            </w:r>
          </w:p>
        </w:tc>
        <w:tc>
          <w:tcPr>
            <w:tcW w:w="619"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42.6%</w:t>
            </w:r>
          </w:p>
        </w:tc>
        <w:tc>
          <w:tcPr>
            <w:tcW w:w="713"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0.037</w:t>
            </w:r>
          </w:p>
        </w:tc>
      </w:tr>
      <w:tr w:rsidR="007D28BB" w:rsidRPr="007D28BB" w:rsidTr="007D28BB">
        <w:trPr>
          <w:tblCellSpacing w:w="0" w:type="dxa"/>
        </w:trPr>
        <w:tc>
          <w:tcPr>
            <w:tcW w:w="3408"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Rehabilitation program participation</w:t>
            </w:r>
          </w:p>
        </w:tc>
        <w:tc>
          <w:tcPr>
            <w:tcW w:w="260"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41</w:t>
            </w:r>
          </w:p>
        </w:tc>
        <w:tc>
          <w:tcPr>
            <w:tcW w:w="619"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75.9%</w:t>
            </w:r>
          </w:p>
        </w:tc>
        <w:tc>
          <w:tcPr>
            <w:tcW w:w="713"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0.081</w:t>
            </w:r>
          </w:p>
        </w:tc>
      </w:tr>
      <w:tr w:rsidR="007D28BB" w:rsidRPr="007D28BB" w:rsidTr="007D28BB">
        <w:trPr>
          <w:tblCellSpacing w:w="0" w:type="dxa"/>
        </w:trPr>
        <w:tc>
          <w:tcPr>
            <w:tcW w:w="3408" w:type="pct"/>
            <w:tcBorders>
              <w:bottom w:val="single" w:sz="4" w:space="0" w:color="auto"/>
            </w:tcBorders>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Unfavorable discharge status</w:t>
            </w:r>
          </w:p>
        </w:tc>
        <w:tc>
          <w:tcPr>
            <w:tcW w:w="260" w:type="pct"/>
            <w:tcBorders>
              <w:bottom w:val="single" w:sz="4" w:space="0" w:color="auto"/>
            </w:tcBorders>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15</w:t>
            </w:r>
          </w:p>
        </w:tc>
        <w:tc>
          <w:tcPr>
            <w:tcW w:w="619" w:type="pct"/>
            <w:tcBorders>
              <w:bottom w:val="single" w:sz="4" w:space="0" w:color="auto"/>
            </w:tcBorders>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27.8%</w:t>
            </w:r>
          </w:p>
        </w:tc>
        <w:tc>
          <w:tcPr>
            <w:tcW w:w="713" w:type="pct"/>
            <w:tcBorders>
              <w:bottom w:val="single" w:sz="4" w:space="0" w:color="auto"/>
            </w:tcBorders>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0.028</w:t>
            </w:r>
          </w:p>
        </w:tc>
      </w:tr>
    </w:tbl>
    <w:p w:rsidR="007D28BB" w:rsidRPr="007D28BB" w:rsidRDefault="007D28BB" w:rsidP="007D28BB">
      <w:pPr>
        <w:pStyle w:val="Body"/>
      </w:pPr>
      <w:r w:rsidRPr="007D28BB">
        <w:t xml:space="preserve">At 12-month follow-up, favorable functional recovery was achieved in 66.7% of patients, whereas 33.3% experienced unfavorable functional outcomes. Recovery of consciousness among initially unconscious patients occurred in 80.6%, and 72.2% achieved independent ambulation. Return to employment was observed in 53.7% of patients. Persistent cognitive deficits remained present in 31.5% of the cohort, while functional decline during follow-up occurred in 11.1%. Mortality during follow-up was 7.4%. The mean Glasgow Outcome Scale-Extended score was 5.8 ± 1.7, while Functional Independence Measure improvement averaged 38.4 ± 12.6 points. Patients had a mean rehabilitation stay of 28.9 ± 11.4 days, with mean physical and mental quality-of-life scores of 61.3 ± 14.1 and 58.7 ± 13.6, respectively. Clinical outcome measures are presented in Table </w:t>
      </w:r>
      <w:proofErr w:type="gramStart"/>
      <w:r w:rsidRPr="007D28BB">
        <w:t>3 .</w:t>
      </w:r>
      <w:proofErr w:type="gramEnd"/>
    </w:p>
    <w:p w:rsidR="007D28BB" w:rsidRPr="007D28BB" w:rsidRDefault="007D28BB" w:rsidP="007D28BB">
      <w:pPr>
        <w:pStyle w:val="Caption"/>
      </w:pPr>
      <w:r w:rsidRPr="007D28BB">
        <w:t>Table 3. Twelve-Month Functional and Clinical Outcomes (N = 54)</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6213"/>
        <w:gridCol w:w="276"/>
        <w:gridCol w:w="1529"/>
        <w:gridCol w:w="1009"/>
      </w:tblGrid>
      <w:tr w:rsidR="007D28BB" w:rsidRPr="007D28BB" w:rsidTr="007D28BB">
        <w:trPr>
          <w:tblHeader/>
          <w:tblCellSpacing w:w="0" w:type="dxa"/>
        </w:trPr>
        <w:tc>
          <w:tcPr>
            <w:tcW w:w="3441" w:type="pct"/>
            <w:tcBorders>
              <w:top w:val="single" w:sz="4" w:space="0" w:color="auto"/>
              <w:bottom w:val="single" w:sz="4" w:space="0" w:color="000000"/>
            </w:tcBorders>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Outcome</w:t>
            </w:r>
          </w:p>
        </w:tc>
        <w:tc>
          <w:tcPr>
            <w:tcW w:w="153" w:type="pct"/>
            <w:tcBorders>
              <w:top w:val="single" w:sz="4" w:space="0" w:color="auto"/>
              <w:bottom w:val="single" w:sz="4" w:space="0" w:color="000000"/>
            </w:tcBorders>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n</w:t>
            </w:r>
          </w:p>
        </w:tc>
        <w:tc>
          <w:tcPr>
            <w:tcW w:w="847" w:type="pct"/>
            <w:tcBorders>
              <w:top w:val="single" w:sz="4" w:space="0" w:color="auto"/>
              <w:bottom w:val="single" w:sz="4" w:space="0" w:color="000000"/>
            </w:tcBorders>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 / Mean ± SD</w:t>
            </w:r>
          </w:p>
        </w:tc>
        <w:tc>
          <w:tcPr>
            <w:tcW w:w="559" w:type="pct"/>
            <w:tcBorders>
              <w:top w:val="single" w:sz="4" w:space="0" w:color="auto"/>
              <w:bottom w:val="single" w:sz="4" w:space="0" w:color="000000"/>
            </w:tcBorders>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p-value</w:t>
            </w:r>
          </w:p>
        </w:tc>
      </w:tr>
      <w:tr w:rsidR="007D28BB" w:rsidRPr="007D28BB" w:rsidTr="007D28BB">
        <w:trPr>
          <w:tblCellSpacing w:w="0" w:type="dxa"/>
        </w:trPr>
        <w:tc>
          <w:tcPr>
            <w:tcW w:w="3441"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Favorable functional recovery at 12 months</w:t>
            </w:r>
          </w:p>
        </w:tc>
        <w:tc>
          <w:tcPr>
            <w:tcW w:w="153"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36</w:t>
            </w:r>
          </w:p>
        </w:tc>
        <w:tc>
          <w:tcPr>
            <w:tcW w:w="847"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66.7%</w:t>
            </w:r>
          </w:p>
        </w:tc>
        <w:tc>
          <w:tcPr>
            <w:tcW w:w="559"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Reference</w:t>
            </w:r>
          </w:p>
        </w:tc>
      </w:tr>
      <w:tr w:rsidR="007D28BB" w:rsidRPr="007D28BB" w:rsidTr="007D28BB">
        <w:trPr>
          <w:tblCellSpacing w:w="0" w:type="dxa"/>
        </w:trPr>
        <w:tc>
          <w:tcPr>
            <w:tcW w:w="3441"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Unfavorable functional outcome at 12 months</w:t>
            </w:r>
          </w:p>
        </w:tc>
        <w:tc>
          <w:tcPr>
            <w:tcW w:w="153"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18</w:t>
            </w:r>
          </w:p>
        </w:tc>
        <w:tc>
          <w:tcPr>
            <w:tcW w:w="847"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33.3%</w:t>
            </w:r>
          </w:p>
        </w:tc>
        <w:tc>
          <w:tcPr>
            <w:tcW w:w="559"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0.001</w:t>
            </w:r>
          </w:p>
        </w:tc>
      </w:tr>
      <w:tr w:rsidR="007D28BB" w:rsidRPr="007D28BB" w:rsidTr="007D28BB">
        <w:trPr>
          <w:tblCellSpacing w:w="0" w:type="dxa"/>
        </w:trPr>
        <w:tc>
          <w:tcPr>
            <w:tcW w:w="3441"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Recovery of consciousness among initially unconscious patients</w:t>
            </w:r>
          </w:p>
        </w:tc>
        <w:tc>
          <w:tcPr>
            <w:tcW w:w="153"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25</w:t>
            </w:r>
          </w:p>
        </w:tc>
        <w:tc>
          <w:tcPr>
            <w:tcW w:w="847"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80.6%</w:t>
            </w:r>
          </w:p>
        </w:tc>
        <w:tc>
          <w:tcPr>
            <w:tcW w:w="559"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0.014</w:t>
            </w:r>
          </w:p>
        </w:tc>
      </w:tr>
      <w:tr w:rsidR="007D28BB" w:rsidRPr="007D28BB" w:rsidTr="007D28BB">
        <w:trPr>
          <w:tblCellSpacing w:w="0" w:type="dxa"/>
        </w:trPr>
        <w:tc>
          <w:tcPr>
            <w:tcW w:w="3441"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Independent ambulation at follow-up</w:t>
            </w:r>
          </w:p>
        </w:tc>
        <w:tc>
          <w:tcPr>
            <w:tcW w:w="153"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39</w:t>
            </w:r>
          </w:p>
        </w:tc>
        <w:tc>
          <w:tcPr>
            <w:tcW w:w="847"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72.2%</w:t>
            </w:r>
          </w:p>
        </w:tc>
        <w:tc>
          <w:tcPr>
            <w:tcW w:w="559"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0.022</w:t>
            </w:r>
          </w:p>
        </w:tc>
      </w:tr>
      <w:tr w:rsidR="007D28BB" w:rsidRPr="007D28BB" w:rsidTr="007D28BB">
        <w:trPr>
          <w:tblCellSpacing w:w="0" w:type="dxa"/>
        </w:trPr>
        <w:tc>
          <w:tcPr>
            <w:tcW w:w="3441"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Return to employment at 12 months</w:t>
            </w:r>
          </w:p>
        </w:tc>
        <w:tc>
          <w:tcPr>
            <w:tcW w:w="153"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29</w:t>
            </w:r>
          </w:p>
        </w:tc>
        <w:tc>
          <w:tcPr>
            <w:tcW w:w="847"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53.7%</w:t>
            </w:r>
          </w:p>
        </w:tc>
        <w:tc>
          <w:tcPr>
            <w:tcW w:w="559"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0.006</w:t>
            </w:r>
          </w:p>
        </w:tc>
      </w:tr>
      <w:tr w:rsidR="007D28BB" w:rsidRPr="007D28BB" w:rsidTr="007D28BB">
        <w:trPr>
          <w:tblCellSpacing w:w="0" w:type="dxa"/>
        </w:trPr>
        <w:tc>
          <w:tcPr>
            <w:tcW w:w="3441"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Persistent cognitive deficits</w:t>
            </w:r>
          </w:p>
        </w:tc>
        <w:tc>
          <w:tcPr>
            <w:tcW w:w="153"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17</w:t>
            </w:r>
          </w:p>
        </w:tc>
        <w:tc>
          <w:tcPr>
            <w:tcW w:w="847"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31.5%</w:t>
            </w:r>
          </w:p>
        </w:tc>
        <w:tc>
          <w:tcPr>
            <w:tcW w:w="559"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0.018</w:t>
            </w:r>
          </w:p>
        </w:tc>
      </w:tr>
      <w:tr w:rsidR="007D28BB" w:rsidRPr="007D28BB" w:rsidTr="007D28BB">
        <w:trPr>
          <w:tblCellSpacing w:w="0" w:type="dxa"/>
        </w:trPr>
        <w:tc>
          <w:tcPr>
            <w:tcW w:w="3441"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Functional decline during follow-up</w:t>
            </w:r>
          </w:p>
        </w:tc>
        <w:tc>
          <w:tcPr>
            <w:tcW w:w="153"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6</w:t>
            </w:r>
          </w:p>
        </w:tc>
        <w:tc>
          <w:tcPr>
            <w:tcW w:w="847"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11.1%</w:t>
            </w:r>
          </w:p>
        </w:tc>
        <w:tc>
          <w:tcPr>
            <w:tcW w:w="559"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0.039</w:t>
            </w:r>
          </w:p>
        </w:tc>
      </w:tr>
      <w:tr w:rsidR="007D28BB" w:rsidRPr="007D28BB" w:rsidTr="007D28BB">
        <w:trPr>
          <w:tblCellSpacing w:w="0" w:type="dxa"/>
        </w:trPr>
        <w:tc>
          <w:tcPr>
            <w:tcW w:w="3441"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Mortality during follow-up</w:t>
            </w:r>
          </w:p>
        </w:tc>
        <w:tc>
          <w:tcPr>
            <w:tcW w:w="153"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4</w:t>
            </w:r>
          </w:p>
        </w:tc>
        <w:tc>
          <w:tcPr>
            <w:tcW w:w="847"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7.4%</w:t>
            </w:r>
          </w:p>
        </w:tc>
        <w:tc>
          <w:tcPr>
            <w:tcW w:w="559"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0.027</w:t>
            </w:r>
          </w:p>
        </w:tc>
      </w:tr>
      <w:tr w:rsidR="007D28BB" w:rsidRPr="007D28BB" w:rsidTr="007D28BB">
        <w:trPr>
          <w:tblCellSpacing w:w="0" w:type="dxa"/>
        </w:trPr>
        <w:tc>
          <w:tcPr>
            <w:tcW w:w="3441"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Follow-up Glasgow Outcome Scale-Extended score</w:t>
            </w:r>
          </w:p>
        </w:tc>
        <w:tc>
          <w:tcPr>
            <w:tcW w:w="153"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54</w:t>
            </w:r>
          </w:p>
        </w:tc>
        <w:tc>
          <w:tcPr>
            <w:tcW w:w="847"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5.8 ± 1.7</w:t>
            </w:r>
          </w:p>
        </w:tc>
        <w:tc>
          <w:tcPr>
            <w:tcW w:w="559"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0.009</w:t>
            </w:r>
          </w:p>
        </w:tc>
      </w:tr>
      <w:tr w:rsidR="007D28BB" w:rsidRPr="007D28BB" w:rsidTr="007D28BB">
        <w:trPr>
          <w:tblCellSpacing w:w="0" w:type="dxa"/>
        </w:trPr>
        <w:tc>
          <w:tcPr>
            <w:tcW w:w="3441"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Functional Independence Measure improvement</w:t>
            </w:r>
          </w:p>
        </w:tc>
        <w:tc>
          <w:tcPr>
            <w:tcW w:w="153"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54</w:t>
            </w:r>
          </w:p>
        </w:tc>
        <w:tc>
          <w:tcPr>
            <w:tcW w:w="847"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38.4 ± 12.6</w:t>
            </w:r>
          </w:p>
        </w:tc>
        <w:tc>
          <w:tcPr>
            <w:tcW w:w="559"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0.012</w:t>
            </w:r>
          </w:p>
        </w:tc>
      </w:tr>
      <w:tr w:rsidR="007D28BB" w:rsidRPr="007D28BB" w:rsidTr="007D28BB">
        <w:trPr>
          <w:tblCellSpacing w:w="0" w:type="dxa"/>
        </w:trPr>
        <w:tc>
          <w:tcPr>
            <w:tcW w:w="3441"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Length of rehabilitation stay (days)</w:t>
            </w:r>
          </w:p>
        </w:tc>
        <w:tc>
          <w:tcPr>
            <w:tcW w:w="153"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54</w:t>
            </w:r>
          </w:p>
        </w:tc>
        <w:tc>
          <w:tcPr>
            <w:tcW w:w="847"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28.9 ± 11.4</w:t>
            </w:r>
          </w:p>
        </w:tc>
        <w:tc>
          <w:tcPr>
            <w:tcW w:w="559"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0.055</w:t>
            </w:r>
          </w:p>
        </w:tc>
      </w:tr>
      <w:tr w:rsidR="007D28BB" w:rsidRPr="007D28BB" w:rsidTr="007D28BB">
        <w:trPr>
          <w:tblCellSpacing w:w="0" w:type="dxa"/>
        </w:trPr>
        <w:tc>
          <w:tcPr>
            <w:tcW w:w="3441"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Quality-of-life physical health score</w:t>
            </w:r>
          </w:p>
        </w:tc>
        <w:tc>
          <w:tcPr>
            <w:tcW w:w="153"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54</w:t>
            </w:r>
          </w:p>
        </w:tc>
        <w:tc>
          <w:tcPr>
            <w:tcW w:w="847"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61.3 ± 14.1</w:t>
            </w:r>
          </w:p>
        </w:tc>
        <w:tc>
          <w:tcPr>
            <w:tcW w:w="559"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0.031</w:t>
            </w:r>
          </w:p>
        </w:tc>
      </w:tr>
      <w:tr w:rsidR="007D28BB" w:rsidRPr="007D28BB" w:rsidTr="007D28BB">
        <w:trPr>
          <w:tblCellSpacing w:w="0" w:type="dxa"/>
        </w:trPr>
        <w:tc>
          <w:tcPr>
            <w:tcW w:w="3441" w:type="pct"/>
            <w:tcBorders>
              <w:bottom w:val="single" w:sz="4" w:space="0" w:color="auto"/>
            </w:tcBorders>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Quality-of-life mental health score</w:t>
            </w:r>
          </w:p>
        </w:tc>
        <w:tc>
          <w:tcPr>
            <w:tcW w:w="153" w:type="pct"/>
            <w:tcBorders>
              <w:bottom w:val="single" w:sz="4" w:space="0" w:color="auto"/>
            </w:tcBorders>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54</w:t>
            </w:r>
          </w:p>
        </w:tc>
        <w:tc>
          <w:tcPr>
            <w:tcW w:w="847" w:type="pct"/>
            <w:tcBorders>
              <w:bottom w:val="single" w:sz="4" w:space="0" w:color="auto"/>
            </w:tcBorders>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58.7 ± 13.6</w:t>
            </w:r>
          </w:p>
        </w:tc>
        <w:tc>
          <w:tcPr>
            <w:tcW w:w="559" w:type="pct"/>
            <w:tcBorders>
              <w:bottom w:val="single" w:sz="4" w:space="0" w:color="auto"/>
            </w:tcBorders>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0.036</w:t>
            </w:r>
          </w:p>
        </w:tc>
      </w:tr>
    </w:tbl>
    <w:p w:rsidR="007D28BB" w:rsidRPr="007D28BB" w:rsidRDefault="007D28BB" w:rsidP="007D28BB">
      <w:pPr>
        <w:pStyle w:val="Body"/>
      </w:pPr>
      <w:r w:rsidRPr="007D28BB">
        <w:t xml:space="preserve">Inferential analysis demonstrated that severe traumatic brain injury independently predicted poor clinical outcome (OR 3.42, 95% CI 1.21–9.67, p = 0.020). Patients with admission Glasgow Coma Scale scores ≤8 had significantly increased odds of unfavorable recovery (OR 4.11, 95% CI 1.39–12.14, p = 0.011). Abnormal cranial CT findings were associated with worse prognosis (OR 2.88, 95% CI 1.02–8.13, p = 0.045), while previous psychiatric history was strongly associated with poorer long-term recovery (OR 3.76, 95% CI 1.18–11.97, p = 0.025). Failure to return to work was the strongest predictor of poor clinical outcome (OR 4.53, 95% CI 1.55–13.22, p = 0.006). Sleep disturbance during recovery and age &gt;45 years were also significantly associated with persistent disability and unfavorable outcome. Educational level ≤ high school demonstrated a trend toward worse recovery but did not achieve statistical significance. Detailed inferential findings are presented in Table </w:t>
      </w:r>
      <w:proofErr w:type="gramStart"/>
      <w:r w:rsidRPr="007D28BB">
        <w:t>4 .</w:t>
      </w:r>
      <w:proofErr w:type="gramEnd"/>
    </w:p>
    <w:p w:rsidR="007D28BB" w:rsidRPr="007D28BB" w:rsidRDefault="007D28BB" w:rsidP="007D28BB">
      <w:pPr>
        <w:pStyle w:val="Caption"/>
      </w:pPr>
      <w:r w:rsidRPr="007D28BB">
        <w:t>Table 4. Predictors of Poor Clinical Outcome Following Traumatic Brain Injury (N = 54)</w:t>
      </w:r>
    </w:p>
    <w:tbl>
      <w:tblPr>
        <w:tblW w:w="5000" w:type="pct"/>
        <w:tblCellSpacing w:w="0" w:type="dxa"/>
        <w:tblCellMar>
          <w:top w:w="15" w:type="dxa"/>
          <w:left w:w="15" w:type="dxa"/>
          <w:bottom w:w="15" w:type="dxa"/>
          <w:right w:w="15" w:type="dxa"/>
        </w:tblCellMar>
        <w:tblLook w:val="04A0" w:firstRow="1" w:lastRow="0" w:firstColumn="1" w:lastColumn="0" w:noHBand="0" w:noVBand="1"/>
      </w:tblPr>
      <w:tblGrid>
        <w:gridCol w:w="2334"/>
        <w:gridCol w:w="229"/>
        <w:gridCol w:w="1098"/>
        <w:gridCol w:w="800"/>
        <w:gridCol w:w="587"/>
        <w:gridCol w:w="3979"/>
      </w:tblGrid>
      <w:tr w:rsidR="007D28BB" w:rsidRPr="007D28BB" w:rsidTr="007D28BB">
        <w:trPr>
          <w:tblHeader/>
          <w:tblCellSpacing w:w="0" w:type="dxa"/>
        </w:trPr>
        <w:tc>
          <w:tcPr>
            <w:tcW w:w="1293" w:type="pct"/>
            <w:tcBorders>
              <w:top w:val="single" w:sz="4" w:space="0" w:color="auto"/>
              <w:bottom w:val="single" w:sz="4" w:space="0" w:color="000000"/>
            </w:tcBorders>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lastRenderedPageBreak/>
              <w:t>Predictor</w:t>
            </w:r>
          </w:p>
        </w:tc>
        <w:tc>
          <w:tcPr>
            <w:tcW w:w="127" w:type="pct"/>
            <w:tcBorders>
              <w:top w:val="single" w:sz="4" w:space="0" w:color="auto"/>
              <w:bottom w:val="single" w:sz="4" w:space="0" w:color="000000"/>
            </w:tcBorders>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n</w:t>
            </w:r>
          </w:p>
        </w:tc>
        <w:tc>
          <w:tcPr>
            <w:tcW w:w="608" w:type="pct"/>
            <w:tcBorders>
              <w:top w:val="single" w:sz="4" w:space="0" w:color="auto"/>
              <w:bottom w:val="single" w:sz="4" w:space="0" w:color="000000"/>
            </w:tcBorders>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Effect Measure</w:t>
            </w:r>
          </w:p>
        </w:tc>
        <w:tc>
          <w:tcPr>
            <w:tcW w:w="443" w:type="pct"/>
            <w:tcBorders>
              <w:top w:val="single" w:sz="4" w:space="0" w:color="auto"/>
              <w:bottom w:val="single" w:sz="4" w:space="0" w:color="000000"/>
            </w:tcBorders>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95% CI</w:t>
            </w:r>
          </w:p>
        </w:tc>
        <w:tc>
          <w:tcPr>
            <w:tcW w:w="325" w:type="pct"/>
            <w:tcBorders>
              <w:top w:val="single" w:sz="4" w:space="0" w:color="auto"/>
              <w:bottom w:val="single" w:sz="4" w:space="0" w:color="000000"/>
            </w:tcBorders>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p-value</w:t>
            </w:r>
          </w:p>
        </w:tc>
        <w:tc>
          <w:tcPr>
            <w:tcW w:w="2204" w:type="pct"/>
            <w:tcBorders>
              <w:top w:val="single" w:sz="4" w:space="0" w:color="auto"/>
              <w:bottom w:val="single" w:sz="4" w:space="0" w:color="000000"/>
            </w:tcBorders>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Interpretation</w:t>
            </w:r>
          </w:p>
        </w:tc>
      </w:tr>
      <w:tr w:rsidR="007D28BB" w:rsidRPr="007D28BB" w:rsidTr="007D28BB">
        <w:trPr>
          <w:tblCellSpacing w:w="0" w:type="dxa"/>
        </w:trPr>
        <w:tc>
          <w:tcPr>
            <w:tcW w:w="1293"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Severe traumatic brain injury</w:t>
            </w:r>
          </w:p>
        </w:tc>
        <w:tc>
          <w:tcPr>
            <w:tcW w:w="127"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17</w:t>
            </w:r>
          </w:p>
        </w:tc>
        <w:tc>
          <w:tcPr>
            <w:tcW w:w="608"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OR 3.42</w:t>
            </w:r>
          </w:p>
        </w:tc>
        <w:tc>
          <w:tcPr>
            <w:tcW w:w="443"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1.21–9.67</w:t>
            </w:r>
          </w:p>
        </w:tc>
        <w:tc>
          <w:tcPr>
            <w:tcW w:w="325"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0.020</w:t>
            </w:r>
          </w:p>
        </w:tc>
        <w:tc>
          <w:tcPr>
            <w:tcW w:w="2204"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Severe injury independently predicted poor outcome</w:t>
            </w:r>
          </w:p>
        </w:tc>
      </w:tr>
      <w:tr w:rsidR="007D28BB" w:rsidRPr="007D28BB" w:rsidTr="007D28BB">
        <w:trPr>
          <w:tblCellSpacing w:w="0" w:type="dxa"/>
        </w:trPr>
        <w:tc>
          <w:tcPr>
            <w:tcW w:w="1293"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Glasgow Coma Scale ≤8</w:t>
            </w:r>
          </w:p>
        </w:tc>
        <w:tc>
          <w:tcPr>
            <w:tcW w:w="127"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15</w:t>
            </w:r>
          </w:p>
        </w:tc>
        <w:tc>
          <w:tcPr>
            <w:tcW w:w="608"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OR 4.11</w:t>
            </w:r>
          </w:p>
        </w:tc>
        <w:tc>
          <w:tcPr>
            <w:tcW w:w="443"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1.39–12.14</w:t>
            </w:r>
          </w:p>
        </w:tc>
        <w:tc>
          <w:tcPr>
            <w:tcW w:w="325"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0.011</w:t>
            </w:r>
          </w:p>
        </w:tc>
        <w:tc>
          <w:tcPr>
            <w:tcW w:w="2204"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Lower neurologic status increased risk of unfavorable recovery</w:t>
            </w:r>
          </w:p>
        </w:tc>
      </w:tr>
      <w:tr w:rsidR="007D28BB" w:rsidRPr="007D28BB" w:rsidTr="007D28BB">
        <w:trPr>
          <w:tblCellSpacing w:w="0" w:type="dxa"/>
        </w:trPr>
        <w:tc>
          <w:tcPr>
            <w:tcW w:w="1293"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Abnormal cranial CT findings</w:t>
            </w:r>
          </w:p>
        </w:tc>
        <w:tc>
          <w:tcPr>
            <w:tcW w:w="127"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39</w:t>
            </w:r>
          </w:p>
        </w:tc>
        <w:tc>
          <w:tcPr>
            <w:tcW w:w="608"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OR 2.88</w:t>
            </w:r>
          </w:p>
        </w:tc>
        <w:tc>
          <w:tcPr>
            <w:tcW w:w="443"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1.02–8.13</w:t>
            </w:r>
          </w:p>
        </w:tc>
        <w:tc>
          <w:tcPr>
            <w:tcW w:w="325"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0.045</w:t>
            </w:r>
          </w:p>
        </w:tc>
        <w:tc>
          <w:tcPr>
            <w:tcW w:w="2204"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Structural brain injury associated with worse prognosis</w:t>
            </w:r>
          </w:p>
        </w:tc>
      </w:tr>
      <w:tr w:rsidR="007D28BB" w:rsidRPr="007D28BB" w:rsidTr="007D28BB">
        <w:trPr>
          <w:tblCellSpacing w:w="0" w:type="dxa"/>
        </w:trPr>
        <w:tc>
          <w:tcPr>
            <w:tcW w:w="1293"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Previous psychiatric history</w:t>
            </w:r>
          </w:p>
        </w:tc>
        <w:tc>
          <w:tcPr>
            <w:tcW w:w="127"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11</w:t>
            </w:r>
          </w:p>
        </w:tc>
        <w:tc>
          <w:tcPr>
            <w:tcW w:w="608"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OR 3.76</w:t>
            </w:r>
          </w:p>
        </w:tc>
        <w:tc>
          <w:tcPr>
            <w:tcW w:w="443"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1.18–11.97</w:t>
            </w:r>
          </w:p>
        </w:tc>
        <w:tc>
          <w:tcPr>
            <w:tcW w:w="325"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0.025</w:t>
            </w:r>
          </w:p>
        </w:tc>
        <w:tc>
          <w:tcPr>
            <w:tcW w:w="2204"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Psychiatric comorbidity predicted poorer long-term recovery</w:t>
            </w:r>
          </w:p>
        </w:tc>
      </w:tr>
      <w:tr w:rsidR="007D28BB" w:rsidRPr="007D28BB" w:rsidTr="007D28BB">
        <w:trPr>
          <w:tblCellSpacing w:w="0" w:type="dxa"/>
        </w:trPr>
        <w:tc>
          <w:tcPr>
            <w:tcW w:w="1293"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Unemployment after injury</w:t>
            </w:r>
          </w:p>
        </w:tc>
        <w:tc>
          <w:tcPr>
            <w:tcW w:w="127"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20</w:t>
            </w:r>
          </w:p>
        </w:tc>
        <w:tc>
          <w:tcPr>
            <w:tcW w:w="608"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OR 4.53</w:t>
            </w:r>
          </w:p>
        </w:tc>
        <w:tc>
          <w:tcPr>
            <w:tcW w:w="443"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1.55–13.22</w:t>
            </w:r>
          </w:p>
        </w:tc>
        <w:tc>
          <w:tcPr>
            <w:tcW w:w="325"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0.006</w:t>
            </w:r>
          </w:p>
        </w:tc>
        <w:tc>
          <w:tcPr>
            <w:tcW w:w="2204"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Failure to return to work strongly associated with poor outcome</w:t>
            </w:r>
          </w:p>
        </w:tc>
      </w:tr>
      <w:tr w:rsidR="007D28BB" w:rsidRPr="007D28BB" w:rsidTr="007D28BB">
        <w:trPr>
          <w:tblCellSpacing w:w="0" w:type="dxa"/>
        </w:trPr>
        <w:tc>
          <w:tcPr>
            <w:tcW w:w="1293"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Sleep disturbance during recovery</w:t>
            </w:r>
          </w:p>
        </w:tc>
        <w:tc>
          <w:tcPr>
            <w:tcW w:w="127"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21</w:t>
            </w:r>
          </w:p>
        </w:tc>
        <w:tc>
          <w:tcPr>
            <w:tcW w:w="608"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OR 2.69</w:t>
            </w:r>
          </w:p>
        </w:tc>
        <w:tc>
          <w:tcPr>
            <w:tcW w:w="443"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1.01–7.14</w:t>
            </w:r>
          </w:p>
        </w:tc>
        <w:tc>
          <w:tcPr>
            <w:tcW w:w="325"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0.047</w:t>
            </w:r>
          </w:p>
        </w:tc>
        <w:tc>
          <w:tcPr>
            <w:tcW w:w="2204"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Sleep impairment associated with persistent disability</w:t>
            </w:r>
          </w:p>
        </w:tc>
      </w:tr>
      <w:tr w:rsidR="007D28BB" w:rsidRPr="007D28BB" w:rsidTr="007D28BB">
        <w:trPr>
          <w:tblCellSpacing w:w="0" w:type="dxa"/>
        </w:trPr>
        <w:tc>
          <w:tcPr>
            <w:tcW w:w="1293" w:type="pct"/>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Educational level ≤ high school</w:t>
            </w:r>
          </w:p>
        </w:tc>
        <w:tc>
          <w:tcPr>
            <w:tcW w:w="127"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28</w:t>
            </w:r>
          </w:p>
        </w:tc>
        <w:tc>
          <w:tcPr>
            <w:tcW w:w="608"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OR 2.41</w:t>
            </w:r>
          </w:p>
        </w:tc>
        <w:tc>
          <w:tcPr>
            <w:tcW w:w="443"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0.93–6.22</w:t>
            </w:r>
          </w:p>
        </w:tc>
        <w:tc>
          <w:tcPr>
            <w:tcW w:w="325"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0.071</w:t>
            </w:r>
          </w:p>
        </w:tc>
        <w:tc>
          <w:tcPr>
            <w:tcW w:w="2204" w:type="pct"/>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Lower education showed trend toward worse recovery</w:t>
            </w:r>
          </w:p>
        </w:tc>
      </w:tr>
      <w:tr w:rsidR="007D28BB" w:rsidRPr="007D28BB" w:rsidTr="007D28BB">
        <w:trPr>
          <w:tblCellSpacing w:w="0" w:type="dxa"/>
        </w:trPr>
        <w:tc>
          <w:tcPr>
            <w:tcW w:w="1293" w:type="pct"/>
            <w:tcBorders>
              <w:bottom w:val="single" w:sz="4" w:space="0" w:color="auto"/>
            </w:tcBorders>
            <w:shd w:val="clear" w:color="auto" w:fill="auto"/>
            <w:hideMark/>
          </w:tcPr>
          <w:p w:rsidR="007D28BB" w:rsidRPr="007D28BB" w:rsidRDefault="007D28BB" w:rsidP="007D28BB">
            <w:pPr>
              <w:pStyle w:val="Body"/>
              <w:spacing w:after="0" w:line="240" w:lineRule="auto"/>
              <w:jc w:val="left"/>
              <w:rPr>
                <w:b/>
                <w:color w:val="000000"/>
                <w:sz w:val="16"/>
              </w:rPr>
            </w:pPr>
            <w:r w:rsidRPr="007D28BB">
              <w:rPr>
                <w:b/>
                <w:color w:val="000000"/>
                <w:sz w:val="16"/>
              </w:rPr>
              <w:t>Age &gt;45 years</w:t>
            </w:r>
          </w:p>
        </w:tc>
        <w:tc>
          <w:tcPr>
            <w:tcW w:w="127" w:type="pct"/>
            <w:tcBorders>
              <w:bottom w:val="single" w:sz="4" w:space="0" w:color="auto"/>
            </w:tcBorders>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22</w:t>
            </w:r>
          </w:p>
        </w:tc>
        <w:tc>
          <w:tcPr>
            <w:tcW w:w="608" w:type="pct"/>
            <w:tcBorders>
              <w:bottom w:val="single" w:sz="4" w:space="0" w:color="auto"/>
            </w:tcBorders>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OR 2.94</w:t>
            </w:r>
          </w:p>
        </w:tc>
        <w:tc>
          <w:tcPr>
            <w:tcW w:w="443" w:type="pct"/>
            <w:tcBorders>
              <w:bottom w:val="single" w:sz="4" w:space="0" w:color="auto"/>
            </w:tcBorders>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1.08–8.02</w:t>
            </w:r>
          </w:p>
        </w:tc>
        <w:tc>
          <w:tcPr>
            <w:tcW w:w="325" w:type="pct"/>
            <w:tcBorders>
              <w:bottom w:val="single" w:sz="4" w:space="0" w:color="auto"/>
            </w:tcBorders>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0.035</w:t>
            </w:r>
          </w:p>
        </w:tc>
        <w:tc>
          <w:tcPr>
            <w:tcW w:w="2204" w:type="pct"/>
            <w:tcBorders>
              <w:bottom w:val="single" w:sz="4" w:space="0" w:color="auto"/>
            </w:tcBorders>
            <w:shd w:val="clear" w:color="auto" w:fill="auto"/>
            <w:hideMark/>
          </w:tcPr>
          <w:p w:rsidR="007D28BB" w:rsidRPr="007D28BB" w:rsidRDefault="007D28BB" w:rsidP="007D28BB">
            <w:pPr>
              <w:pStyle w:val="Body"/>
              <w:spacing w:after="0" w:line="240" w:lineRule="auto"/>
              <w:jc w:val="left"/>
              <w:rPr>
                <w:color w:val="000000"/>
                <w:sz w:val="16"/>
              </w:rPr>
            </w:pPr>
            <w:r w:rsidRPr="007D28BB">
              <w:rPr>
                <w:color w:val="000000"/>
                <w:sz w:val="16"/>
              </w:rPr>
              <w:t>Older age associated with poorer clinical outcome</w:t>
            </w:r>
          </w:p>
        </w:tc>
      </w:tr>
    </w:tbl>
    <w:p w:rsidR="007D28BB" w:rsidRPr="007D28BB" w:rsidRDefault="007D28BB" w:rsidP="007D28BB">
      <w:pPr>
        <w:pStyle w:val="Body"/>
      </w:pPr>
      <w:r w:rsidRPr="007D28BB">
        <w:t xml:space="preserve">The study demonstrated that functional recovery after traumatic brain injury was achievable in a substantial proportion of patients, although persistent neurological, cognitive, and psychosocial impairments remained common during long-term follow-up. Among the 54 enrolled patients, favorable functional recovery at 12 months was observed in 66.7%, whereas 33.3% experienced unfavorable outcomes. The cohort was predominantly male (64.8%) with a mean age of 41.8 ± 15.2 years, reflecting the known epidemiological predominance of traumatic brain injury among economically active adult males. Severe traumatic brain injury accounted for 31.5% of cases, while abnormal cranial computed tomography findings were identified in 72.2%, highlighting the substantial burden of structural neurological injury within the study </w:t>
      </w:r>
      <w:proofErr w:type="gramStart"/>
      <w:r w:rsidRPr="007D28BB">
        <w:t>population .</w:t>
      </w:r>
      <w:proofErr w:type="gramEnd"/>
    </w:p>
    <w:p w:rsidR="007D28BB" w:rsidRPr="007D28BB" w:rsidRDefault="007D28BB" w:rsidP="007D28BB">
      <w:pPr>
        <w:pStyle w:val="Body"/>
      </w:pPr>
      <w:r w:rsidRPr="007D28BB">
        <w:t xml:space="preserve">Acute neurological severity strongly influenced long-term recovery patterns. Patients with lower admission Glasgow Coma Scale scores demonstrated significantly poorer outcomes, with Glasgow Coma Scale ≤8 increasing the odds of unfavorable recovery by more than fourfold (OR 4.11, 95% CI 1.39–12.14, p = 0.011). Similarly, severe traumatic brain injury independently predicted poor clinical outcome (OR 3.42, 95% CI 1.21–9.67, p = 0.020). These findings suggest that early neurological compromise and injury severity remain major determinants of long-term disability following traumatic brain injury. Recovery of consciousness among initially unconscious patients occurred in 80.6%, while 72.2% achieved independent ambulation during follow-up, indicating that substantial neurological improvement remained possible despite severe initial </w:t>
      </w:r>
      <w:proofErr w:type="gramStart"/>
      <w:r w:rsidRPr="007D28BB">
        <w:t>presentation .</w:t>
      </w:r>
      <w:proofErr w:type="gramEnd"/>
    </w:p>
    <w:p w:rsidR="007D28BB" w:rsidRPr="007D28BB" w:rsidRDefault="007D28BB" w:rsidP="007D28BB">
      <w:pPr>
        <w:pStyle w:val="Body"/>
      </w:pPr>
      <w:r w:rsidRPr="007D28BB">
        <w:t xml:space="preserve">Neuropsychological and rehabilitation-related impairments represented another important dimension of recovery. Cognitive impairment at discharge was observed in 44.4% of patients, executive dysfunction in 35.2%, anxiety symptoms in 29.6%, depressive symptoms in 25.9%, and persistent post-concussive symptoms in 42.6%. Sleep disturbance during recovery was reported in 38.9% and was independently associated with persistent disability and poor clinical outcome (OR 2.69, 95% CI 1.01–7.14, p = 0.047). Persistent cognitive deficits remained present in nearly one-third of patients at follow-up, emphasizing the prolonged neurocognitive burden associated with traumatic brain injury even among survivors achieving functional </w:t>
      </w:r>
      <w:proofErr w:type="gramStart"/>
      <w:r w:rsidRPr="007D28BB">
        <w:t>improvement .</w:t>
      </w:r>
      <w:proofErr w:type="gramEnd"/>
    </w:p>
    <w:p w:rsidR="007D28BB" w:rsidRPr="007D28BB" w:rsidRDefault="007D28BB" w:rsidP="007D28BB">
      <w:pPr>
        <w:pStyle w:val="Body"/>
      </w:pPr>
      <w:r w:rsidRPr="007D28BB">
        <w:t xml:space="preserve">Social and occupational reintegration also emerged as clinically significant components of recovery. Return to employment at 12 months was achieved in only 53.7% of patients, while delayed return to work beyond three months occurred in 37.0%. Failure to return to work demonstrated the strongest association with unfavorable recovery (OR 4.53, 95% CI 1.55–13.22, p = 0.006), suggesting that occupational reintegration may serve both as a marker and determinant of long-term functional independence. Functional dependency at discharge remained present in 31.5% of the cohort, and unfavorable discharge status was observed in 27.8%, indicating that a considerable proportion of patients required ongoing support and rehabilitation after hospital </w:t>
      </w:r>
      <w:proofErr w:type="gramStart"/>
      <w:r w:rsidRPr="007D28BB">
        <w:t>discharge .</w:t>
      </w:r>
      <w:proofErr w:type="gramEnd"/>
    </w:p>
    <w:p w:rsidR="007D28BB" w:rsidRPr="007D28BB" w:rsidRDefault="007D28BB" w:rsidP="007D28BB">
      <w:pPr>
        <w:pStyle w:val="Body"/>
      </w:pPr>
      <w:r w:rsidRPr="007D28BB">
        <w:t xml:space="preserve">Quality-of-life and rehabilitation outcomes further illustrated the multidimensional nature of recovery after traumatic brain injury. The mean Glasgow Outcome Scale-Extended score at follow-up was 5.8 ± 1.7, while Functional Independence Measure improvement averaged 38.4 ± 12.6 points. Patients required a mean rehabilitation stay of 28.9 ± 11.4 days, reflecting the prolonged rehabilitative needs associated with traumatic brain injury recovery. Mean physical and mental health quality-of-life scores were 61.3 ± 14.1 and 58.7 ± 13.6, respectively, suggesting persistent limitations across both physical and psychological domains despite overall improvement in functional </w:t>
      </w:r>
      <w:proofErr w:type="gramStart"/>
      <w:r w:rsidRPr="007D28BB">
        <w:t>status .</w:t>
      </w:r>
      <w:proofErr w:type="gramEnd"/>
    </w:p>
    <w:p w:rsidR="007D28BB" w:rsidRPr="007D28BB" w:rsidRDefault="007D28BB" w:rsidP="007D28BB">
      <w:pPr>
        <w:pStyle w:val="Body"/>
      </w:pPr>
      <w:r w:rsidRPr="007D28BB">
        <w:t xml:space="preserve">Inferential analysis identified several clinically meaningful predictors of poor outcome. In addition to severe injury and low Glasgow Coma Scale score, abnormal cranial CT findings were significantly associated with worse prognosis (OR 2.88, 95% CI 1.02–8.13, p = 0.045). Previous psychiatric history also demonstrated a strong association with poorer long-term recovery (OR 3.76, 95% CI 1.18–11.97, p = 0.025), suggesting that pre-existing mental health conditions may negatively influence neuropsychological adaptation and rehabilitation engagement following traumatic brain injury. Older age greater than 45 years was associated with poorer clinical outcome (OR </w:t>
      </w:r>
      <w:r w:rsidRPr="007D28BB">
        <w:lastRenderedPageBreak/>
        <w:t>2.94, 95% CI 1.08–8.02, p = 0.035), whereas lower educational status demonstrated a trend toward unfavorable recovery without achieving statistical significance (p = 0.071</w:t>
      </w:r>
      <w:proofErr w:type="gramStart"/>
      <w:r w:rsidRPr="007D28BB">
        <w:t>) .</w:t>
      </w:r>
      <w:proofErr w:type="gramEnd"/>
    </w:p>
    <w:p w:rsidR="007D28BB" w:rsidRPr="007D28BB" w:rsidRDefault="007D28BB" w:rsidP="007D28BB">
      <w:pPr>
        <w:pStyle w:val="Body"/>
      </w:pPr>
      <w:r w:rsidRPr="007D28BB">
        <w:drawing>
          <wp:inline distT="0" distB="0" distL="0" distR="0" wp14:anchorId="6C38C8D8" wp14:editId="597DEC12">
            <wp:extent cx="5943600" cy="3533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BI_predictors_forest_plot.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943600" cy="3533140"/>
                    </a:xfrm>
                    <a:prstGeom prst="rect">
                      <a:avLst/>
                    </a:prstGeom>
                  </pic:spPr>
                </pic:pic>
              </a:graphicData>
            </a:graphic>
          </wp:inline>
        </w:drawing>
      </w:r>
    </w:p>
    <w:p w:rsidR="007D28BB" w:rsidRPr="007D28BB" w:rsidRDefault="007D28BB" w:rsidP="007D28BB">
      <w:pPr>
        <w:pStyle w:val="Body"/>
      </w:pPr>
    </w:p>
    <w:p w:rsidR="007D28BB" w:rsidRPr="007D28BB" w:rsidRDefault="007D28BB" w:rsidP="007D28BB">
      <w:pPr>
        <w:pStyle w:val="Body"/>
      </w:pPr>
      <w:r w:rsidRPr="007D28BB">
        <w:t>The figure demonstrates the relative strength and precision of major predictors associated with unfavorable functional recovery after traumatic brain injury. Unemployment after injury showed the strongest association with poor outcome (OR 4.53, 95% CI 1.55–13.22), followed closely by admission Glasgow Coma Scale score ≤8 (OR 4.11, 95% CI 1.39–12.14) and previous psychiatric history (OR 3.76, 95% CI 1.18–11.97). Severe traumatic brain injury also significantly increased the likelihood of unfavorable recovery (OR 3.42, 95% CI 1.21–9.67), while age greater than 45 years, abnormal cranial CT findings, and sleep disturbance demonstrated moderate but statistically significant associations with persistent disability. Educational level ≤ high school showed a trend toward poorer recovery but crossed the threshold of statistical significance, indicating possible residual socioeconomic influence on rehabilitation outcomes. The distribution of confidence intervals highlights substantial variability in prognostic strength across predictors while emphasizing the dominant clinical influence of neurological severity and post-injury social reintegration on long-term functional recovery</w:t>
      </w:r>
    </w:p>
    <w:p w:rsidR="007D28BB" w:rsidRPr="007D28BB" w:rsidRDefault="007D28BB" w:rsidP="007D28BB">
      <w:pPr>
        <w:pStyle w:val="Body"/>
      </w:pPr>
    </w:p>
    <w:p w:rsidR="007D28BB" w:rsidRPr="007D28BB" w:rsidRDefault="007D28BB" w:rsidP="007D28BB">
      <w:pPr>
        <w:pStyle w:val="Heading1"/>
      </w:pPr>
      <w:r w:rsidRPr="007D28BB">
        <w:t>Discussion</w:t>
      </w:r>
    </w:p>
    <w:p w:rsidR="007D28BB" w:rsidRPr="007D28BB" w:rsidRDefault="007D28BB" w:rsidP="007D28BB">
      <w:pPr>
        <w:pStyle w:val="Body"/>
      </w:pPr>
      <w:r w:rsidRPr="007D28BB">
        <w:t>The present prospective cohort study evaluated functional recovery and determinants of poor clinical outcome among patients with traumatic brain injury managed at Lahore General Hospital. The findings demonstrated that although favorable functional recovery was achieved in 66.7% of patients at 12-month follow-up, a substantial proportion continued to experience persistent neurological, cognitive, psychological, and functional impairments. Severe traumatic brain injury, lower admission Glasgow Coma Scale score, abnormal cranial computed tomography findings, older age, psychiatric comorbidity, sleep disturbance, and unemployment after injury were significantly associated with unfavorable recovery outcomes. These results reinforce the multifactorial nature of post-traumatic neurological rehabilitation and emphasize that functional recovery extends beyond survival alone to include cognitive restoration, psychosocial adjustment, occupational reintegration, and quality of life.</w:t>
      </w:r>
    </w:p>
    <w:p w:rsidR="007D28BB" w:rsidRPr="007D28BB" w:rsidRDefault="007D28BB" w:rsidP="007D28BB">
      <w:pPr>
        <w:pStyle w:val="Body"/>
      </w:pPr>
      <w:r w:rsidRPr="007D28BB">
        <w:t>The predominance of male patients and the relatively young mean age observed in this cohort are consistent with the established epidemiology of traumatic brain injury, which disproportionately affects economically productive adults because of increased exposure to road traffic accidents, occupational trauma, and high-risk activities (1</w:t>
      </w:r>
      <w:proofErr w:type="gramStart"/>
      <w:r w:rsidRPr="007D28BB">
        <w:t>,2</w:t>
      </w:r>
      <w:proofErr w:type="gramEnd"/>
      <w:r w:rsidRPr="007D28BB">
        <w:t>). Similar demographic patterns have been reported in longitudinal traumatic brain injury cohorts and rehabilitation studies from both high-income and developing healthcare settings (3</w:t>
      </w:r>
      <w:proofErr w:type="gramStart"/>
      <w:r w:rsidRPr="007D28BB">
        <w:t>,4</w:t>
      </w:r>
      <w:proofErr w:type="gramEnd"/>
      <w:r w:rsidRPr="007D28BB">
        <w:t xml:space="preserve">). The substantial proportion of patients </w:t>
      </w:r>
      <w:r w:rsidRPr="007D28BB">
        <w:lastRenderedPageBreak/>
        <w:t>with moderate to severe traumatic brain injury in the present study further reflects the referral nature of tertiary care neurosurgical centers, where more clinically complex and neurologically unstable cases are frequently managed.</w:t>
      </w:r>
    </w:p>
    <w:p w:rsidR="007D28BB" w:rsidRPr="007D28BB" w:rsidRDefault="007D28BB" w:rsidP="007D28BB">
      <w:pPr>
        <w:pStyle w:val="Body"/>
      </w:pPr>
      <w:r w:rsidRPr="007D28BB">
        <w:t>Neurological severity at presentation emerged as one of the strongest determinants of long-term functional outcome. Patients with admission Glasgow Coma Scale scores ≤8 demonstrated significantly greater odds of unfavorable recovery, while severe traumatic brain injury independently predicted persistent disability. These findings are consistent with previous prospective investigations showing that reduced consciousness level and injury severity are robust predictors of mortality, prolonged rehabilitation, impaired cognition, and reduced functional independence after traumatic brain injury (5</w:t>
      </w:r>
      <w:proofErr w:type="gramStart"/>
      <w:r w:rsidRPr="007D28BB">
        <w:t>,6</w:t>
      </w:r>
      <w:proofErr w:type="gramEnd"/>
      <w:r w:rsidRPr="007D28BB">
        <w:t>). Large multicenter cohort studies, including TRACK-TBI analyses, have similarly demonstrated that severe injury burden and early neurological compromise strongly influence long-term disability trajectories and recovery potential (7</w:t>
      </w:r>
      <w:proofErr w:type="gramStart"/>
      <w:r w:rsidRPr="007D28BB">
        <w:t>,8</w:t>
      </w:r>
      <w:proofErr w:type="gramEnd"/>
      <w:r w:rsidRPr="007D28BB">
        <w:t>). The present findings therefore support the continued prognostic importance of initial neurological assessment in tertiary trauma care settings.</w:t>
      </w:r>
    </w:p>
    <w:p w:rsidR="007D28BB" w:rsidRPr="007D28BB" w:rsidRDefault="007D28BB" w:rsidP="007D28BB">
      <w:pPr>
        <w:pStyle w:val="Body"/>
      </w:pPr>
      <w:r w:rsidRPr="007D28BB">
        <w:t>Radiological evidence of structural brain injury also demonstrated significant prognostic value. Abnormal cranial computed tomography findings were associated with worse functional recovery, consistent with prior evidence linking intracranial hemorrhage, diffuse axonal injury, cerebral edema, and mass effect with adverse neurological outcomes (9</w:t>
      </w:r>
      <w:proofErr w:type="gramStart"/>
      <w:r w:rsidRPr="007D28BB">
        <w:t>,10</w:t>
      </w:r>
      <w:proofErr w:type="gramEnd"/>
      <w:r w:rsidRPr="007D28BB">
        <w:t>). Structural neuroimaging abnormalities may reflect irreversible neuronal injury and impaired neural network recovery, thereby limiting rehabilitation responsiveness and cognitive restoration. The high prevalence of abnormal CT findings in the present cohort further emphasizes the clinical severity of patients treated at tertiary referral hospitals.</w:t>
      </w:r>
    </w:p>
    <w:p w:rsidR="007D28BB" w:rsidRPr="007D28BB" w:rsidRDefault="007D28BB" w:rsidP="007D28BB">
      <w:pPr>
        <w:pStyle w:val="Body"/>
      </w:pPr>
      <w:r w:rsidRPr="007D28BB">
        <w:t>An important contribution of this study is the identification of neuropsychological and psychosocial variables associated with poor recovery. Previous psychiatric history significantly increased the likelihood of unfavorable long-term outcome, supporting evidence that pre-existing mental health disorders may impair coping mechanisms, rehabilitation adherence, emotional regulation, and psychosocial reintegration after traumatic brain injury (11</w:t>
      </w:r>
      <w:proofErr w:type="gramStart"/>
      <w:r w:rsidRPr="007D28BB">
        <w:t>,12</w:t>
      </w:r>
      <w:proofErr w:type="gramEnd"/>
      <w:r w:rsidRPr="007D28BB">
        <w:t>). Sleep disturbance during recovery was also independently associated with persistent disability. Sleep impairment is increasingly recognized as a major contributor to fatigue, impaired cognition, emotional instability, and reduced neuroplasticity after traumatic brain injury (13). The current findings align with systematic reviews demonstrating that sleep disorders negatively affect functional rehabilitation and long-term neurological recovery trajectories.</w:t>
      </w:r>
    </w:p>
    <w:p w:rsidR="007D28BB" w:rsidRPr="007D28BB" w:rsidRDefault="007D28BB" w:rsidP="007D28BB">
      <w:pPr>
        <w:pStyle w:val="Body"/>
      </w:pPr>
      <w:r w:rsidRPr="007D28BB">
        <w:t xml:space="preserve">Cognitive impairment and executive dysfunction remained highly prevalent during follow-up, affecting 44.4% and 35.2% of patients, respectively. Persistent cognitive deficits at 12 months were observed in nearly one-third of the cohort, indicating that neurocognitive recovery frequently lags behind physical improvement. Similar findings have been reported in longitudinal </w:t>
      </w:r>
      <w:proofErr w:type="spellStart"/>
      <w:r w:rsidRPr="007D28BB">
        <w:t>neurotrauma</w:t>
      </w:r>
      <w:proofErr w:type="spellEnd"/>
      <w:r w:rsidRPr="007D28BB">
        <w:t xml:space="preserve"> studies demonstrating persistent deficits in memory, attention, executive function, and daily-life cognitive performance even years after injury (14</w:t>
      </w:r>
      <w:proofErr w:type="gramStart"/>
      <w:r w:rsidRPr="007D28BB">
        <w:t>,15</w:t>
      </w:r>
      <w:proofErr w:type="gramEnd"/>
      <w:r w:rsidRPr="007D28BB">
        <w:t>). These impairments may substantially reduce occupational reintegration, independent living, and social functioning despite apparent physical recovery.</w:t>
      </w:r>
    </w:p>
    <w:p w:rsidR="007D28BB" w:rsidRPr="007D28BB" w:rsidRDefault="007D28BB" w:rsidP="007D28BB">
      <w:pPr>
        <w:pStyle w:val="Body"/>
      </w:pPr>
      <w:r w:rsidRPr="007D28BB">
        <w:t>Occupational reintegration emerged as one of the most clinically meaningful dimensions of functional recovery. More than one-third of patients experienced delayed return to work, and unemployment after injury represented the strongest predictor of poor outcome. Return to employment is increasingly recognized as a multidimensional indicator of successful recovery because it reflects cognitive performance, psychological adaptation, physical independence, and social participation simultaneously (16). Previous studies have similarly demonstrated that inability to resume employment is strongly associated with poorer psychosocial recovery, lower quality of life, and persistent disability after traumatic brain injury (17). These findings emphasize the importance of vocational rehabilitation and long-term psychosocial support in post-traumatic care pathways.</w:t>
      </w:r>
    </w:p>
    <w:p w:rsidR="007D28BB" w:rsidRPr="007D28BB" w:rsidRDefault="007D28BB" w:rsidP="007D28BB">
      <w:pPr>
        <w:pStyle w:val="Body"/>
      </w:pPr>
      <w:r w:rsidRPr="007D28BB">
        <w:t>The rehabilitation outcomes observed in this cohort further highlight the prolonged and multidimensional nature of traumatic brain injury recovery. Although independent ambulation was achieved in 72.2% of patients and Functional Independence Measure scores improved substantially, rehabilitation stays remained prolonged and quality-of-life scores remained moderately reduced across both physical and mental domains. These observations support previous evidence demonstrating that functional recovery after traumatic brain injury often continues over extended periods and requires multidisciplinary rehabilitation involving neurosurgery, rehabilitation medicine, nursing care, neuropsychology, and social support services (18,19). Recovery trajectories are therefore not solely determined by acute neurological stabilization but also by sustained rehabilitative intervention and psychosocial reintegration.</w:t>
      </w:r>
    </w:p>
    <w:p w:rsidR="007D28BB" w:rsidRPr="007D28BB" w:rsidRDefault="007D28BB" w:rsidP="007D28BB">
      <w:pPr>
        <w:pStyle w:val="Body"/>
      </w:pPr>
      <w:r w:rsidRPr="007D28BB">
        <w:lastRenderedPageBreak/>
        <w:t>The present study has several important clinical implications. Early identification of high-risk patients using neurological severity markers, neuroimaging findings, psychiatric history, and recovery-related variables may facilitate individualized rehabilitation planning and targeted multidisciplinary intervention. Greater emphasis on cognitive rehabilitation, sleep management, psychological support, and vocational reintegration may improve long-term functional outcomes among survivors of traumatic brain injury. Additionally, the findings support the need for structured follow-up systems within tertiary care hospitals to monitor persistent disability and optimize rehabilitation strategies throughout the recovery continuum.</w:t>
      </w:r>
    </w:p>
    <w:p w:rsidR="007D28BB" w:rsidRPr="007D28BB" w:rsidRDefault="007D28BB" w:rsidP="007D28BB">
      <w:pPr>
        <w:pStyle w:val="Body"/>
      </w:pPr>
      <w:r w:rsidRPr="007D28BB">
        <w:t>Several limitations should be acknowledged. The study was conducted at a single tertiary care center with a relatively modest sample size, which may limit generalizability to broader populations. Although prospective follow-up strengthened temporal assessment of recovery outcomes, residual confounding related to socioeconomic factors, rehabilitation intensity, and injury mechanisms may still have influenced results. Furthermore, subgroup-specific analyses according to injury mechanism or rehabilitation modality were not performed. Despite these limitations, the study provides clinically meaningful prospective data regarding functional recovery patterns and predictors of poor outcome among traumatic brain injury patients managed in a tertiary care setting.</w:t>
      </w:r>
    </w:p>
    <w:p w:rsidR="007D28BB" w:rsidRPr="007D28BB" w:rsidRDefault="007D28BB" w:rsidP="007D28BB">
      <w:pPr>
        <w:pStyle w:val="Heading1"/>
      </w:pPr>
      <w:r w:rsidRPr="007D28BB">
        <w:t>Conclusion</w:t>
      </w:r>
    </w:p>
    <w:p w:rsidR="007D28BB" w:rsidRPr="007D28BB" w:rsidRDefault="007D28BB" w:rsidP="007D28BB">
      <w:pPr>
        <w:pStyle w:val="Body"/>
      </w:pPr>
      <w:r w:rsidRPr="007D28BB">
        <w:t>In conclusion, the present prospective cohort study demonstrated that functional recovery after traumatic brain injury is influenced by a complex interaction of neurological severity, neuropsychological impairment, radiological abnormalities, and social reintegration factors. Although favorable functional recovery was achieved in the majority of patients, a substantial proportion continued to experience persistent cognitive deficits, psychological symptoms, delayed return to work, and reduced quality of life at 12-month follow-up. Severe traumatic brain injury, admission Glasgow Coma Scale score ≤8, abnormal cranial computed tomography findings, previous psychiatric history, sleep disturbance, unemployment after injury, and older age were significant predictors of unfavorable clinical outcome. These findings emphasize the importance of early risk stratification, multidisciplinary rehabilitation, cognitive and psychological support, and long-term follow-up strategies to optimize functional independence and quality-of-life outcomes among patients with traumatic brain injury managed in tertiary care settings.</w:t>
      </w:r>
    </w:p>
    <w:p w:rsidR="007D28BB" w:rsidRPr="007D28BB" w:rsidRDefault="007D28BB" w:rsidP="007D28BB">
      <w:pPr>
        <w:pStyle w:val="Heading1"/>
      </w:pPr>
      <w:r w:rsidRPr="007D28BB">
        <w:t xml:space="preserve">References </w:t>
      </w:r>
    </w:p>
    <w:p w:rsidR="007D28BB" w:rsidRPr="007D28BB" w:rsidRDefault="007D28BB" w:rsidP="007D28BB">
      <w:pPr>
        <w:pStyle w:val="Body"/>
        <w:numPr>
          <w:ilvl w:val="0"/>
          <w:numId w:val="18"/>
        </w:numPr>
      </w:pPr>
      <w:proofErr w:type="spellStart"/>
      <w:r w:rsidRPr="007D28BB">
        <w:t>Alhadidi</w:t>
      </w:r>
      <w:proofErr w:type="spellEnd"/>
      <w:r w:rsidRPr="007D28BB">
        <w:t xml:space="preserve"> QM, </w:t>
      </w:r>
      <w:proofErr w:type="spellStart"/>
      <w:r w:rsidRPr="007D28BB">
        <w:t>Bahader</w:t>
      </w:r>
      <w:proofErr w:type="spellEnd"/>
      <w:r w:rsidRPr="007D28BB">
        <w:t xml:space="preserve"> GA, </w:t>
      </w:r>
      <w:proofErr w:type="spellStart"/>
      <w:r w:rsidRPr="007D28BB">
        <w:t>Arvola</w:t>
      </w:r>
      <w:proofErr w:type="spellEnd"/>
      <w:r w:rsidRPr="007D28BB">
        <w:t xml:space="preserve"> O, Kitchen P, Shah ZA, Salman M. Astrocytes in functional recovery following central nervous system injuries. J Physiol. 2023. </w:t>
      </w:r>
      <w:proofErr w:type="gramStart"/>
      <w:r w:rsidRPr="007D28BB">
        <w:t>doi:</w:t>
      </w:r>
      <w:proofErr w:type="gramEnd"/>
      <w:r w:rsidRPr="007D28BB">
        <w:t xml:space="preserve">10.1113/JP284197. </w:t>
      </w:r>
    </w:p>
    <w:p w:rsidR="007D28BB" w:rsidRPr="007D28BB" w:rsidRDefault="007D28BB" w:rsidP="007D28BB">
      <w:pPr>
        <w:pStyle w:val="Body"/>
        <w:numPr>
          <w:ilvl w:val="0"/>
          <w:numId w:val="18"/>
        </w:numPr>
      </w:pPr>
      <w:proofErr w:type="spellStart"/>
      <w:r w:rsidRPr="007D28BB">
        <w:t>Brito</w:t>
      </w:r>
      <w:proofErr w:type="spellEnd"/>
      <w:r w:rsidRPr="007D28BB">
        <w:t xml:space="preserve"> GR, </w:t>
      </w:r>
      <w:proofErr w:type="spellStart"/>
      <w:r w:rsidRPr="007D28BB">
        <w:t>Botelho</w:t>
      </w:r>
      <w:proofErr w:type="spellEnd"/>
      <w:r w:rsidRPr="007D28BB">
        <w:t xml:space="preserve"> ML, Santos MS. Recovery profile of patients suffered with traumatic brain injuries (TBI): Analysis of case reports. J </w:t>
      </w:r>
      <w:proofErr w:type="spellStart"/>
      <w:r w:rsidRPr="007D28BB">
        <w:t>Adv</w:t>
      </w:r>
      <w:proofErr w:type="spellEnd"/>
      <w:r w:rsidRPr="007D28BB">
        <w:t xml:space="preserve"> Med </w:t>
      </w:r>
      <w:proofErr w:type="spellStart"/>
      <w:r w:rsidRPr="007D28BB">
        <w:t>Med</w:t>
      </w:r>
      <w:proofErr w:type="spellEnd"/>
      <w:r w:rsidRPr="007D28BB">
        <w:t xml:space="preserve"> Res. 2023</w:t>
      </w:r>
      <w:proofErr w:type="gramStart"/>
      <w:r w:rsidRPr="007D28BB">
        <w:t>;35</w:t>
      </w:r>
      <w:proofErr w:type="gramEnd"/>
      <w:r w:rsidRPr="007D28BB">
        <w:t>(20). doi:10.9734/</w:t>
      </w:r>
      <w:proofErr w:type="spellStart"/>
      <w:r w:rsidRPr="007D28BB">
        <w:t>jammr</w:t>
      </w:r>
      <w:proofErr w:type="spellEnd"/>
      <w:r w:rsidRPr="007D28BB">
        <w:t xml:space="preserve">/2023/v35i205185. </w:t>
      </w:r>
    </w:p>
    <w:p w:rsidR="007D28BB" w:rsidRPr="007D28BB" w:rsidRDefault="007D28BB" w:rsidP="007D28BB">
      <w:pPr>
        <w:pStyle w:val="Body"/>
        <w:numPr>
          <w:ilvl w:val="0"/>
          <w:numId w:val="18"/>
        </w:numPr>
      </w:pPr>
      <w:r w:rsidRPr="007D28BB">
        <w:t>Dams-</w:t>
      </w:r>
      <w:proofErr w:type="spellStart"/>
      <w:r w:rsidRPr="007D28BB">
        <w:t>O</w:t>
      </w:r>
      <w:r w:rsidRPr="007D28BB">
        <w:rPr>
          <w:rFonts w:ascii="Times New Roman" w:hAnsi="Times New Roman" w:cs="Times New Roman"/>
        </w:rPr>
        <w:t>ʼ</w:t>
      </w:r>
      <w:r w:rsidRPr="007D28BB">
        <w:t>Connor</w:t>
      </w:r>
      <w:proofErr w:type="spellEnd"/>
      <w:r w:rsidRPr="007D28BB">
        <w:t xml:space="preserve"> K, Ketchum J, Cuthbert JP, Corrigan J, Hammond F, </w:t>
      </w:r>
      <w:proofErr w:type="spellStart"/>
      <w:r w:rsidRPr="007D28BB">
        <w:t>Haarbauer-Krupa</w:t>
      </w:r>
      <w:proofErr w:type="spellEnd"/>
      <w:r w:rsidRPr="007D28BB">
        <w:t xml:space="preserve"> J, et al. Functional outcome trajectories following inpatient rehabilitation for TBI in the United States: A NIDILRR TBIMS and CDC interagency collaboration. J Head Trauma </w:t>
      </w:r>
      <w:proofErr w:type="spellStart"/>
      <w:r w:rsidRPr="007D28BB">
        <w:t>Rehabil</w:t>
      </w:r>
      <w:proofErr w:type="spellEnd"/>
      <w:r w:rsidRPr="007D28BB">
        <w:t xml:space="preserve">. 2020. doi:10.1097/HTR.0000000000000484. </w:t>
      </w:r>
    </w:p>
    <w:p w:rsidR="007D28BB" w:rsidRPr="007D28BB" w:rsidRDefault="007D28BB" w:rsidP="007D28BB">
      <w:pPr>
        <w:pStyle w:val="Body"/>
        <w:numPr>
          <w:ilvl w:val="0"/>
          <w:numId w:val="18"/>
        </w:numPr>
      </w:pPr>
      <w:r w:rsidRPr="007D28BB">
        <w:t xml:space="preserve">Golden K, </w:t>
      </w:r>
      <w:proofErr w:type="spellStart"/>
      <w:r w:rsidRPr="007D28BB">
        <w:t>Borsi</w:t>
      </w:r>
      <w:proofErr w:type="spellEnd"/>
      <w:r w:rsidRPr="007D28BB">
        <w:t xml:space="preserve"> L, Sterling A, </w:t>
      </w:r>
      <w:proofErr w:type="spellStart"/>
      <w:r w:rsidRPr="007D28BB">
        <w:t>Giacino</w:t>
      </w:r>
      <w:proofErr w:type="spellEnd"/>
      <w:r w:rsidRPr="007D28BB">
        <w:t xml:space="preserve"> J. Recovery after moderate to severe TBI and factors influencing functional outcome: What you need to know. J Trauma Acute Care Surg. 2024. doi:10.1097/TA.0000000000004305. </w:t>
      </w:r>
    </w:p>
    <w:p w:rsidR="007D28BB" w:rsidRPr="007D28BB" w:rsidRDefault="007D28BB" w:rsidP="007D28BB">
      <w:pPr>
        <w:pStyle w:val="Body"/>
        <w:numPr>
          <w:ilvl w:val="0"/>
          <w:numId w:val="18"/>
        </w:numPr>
      </w:pPr>
      <w:r w:rsidRPr="007D28BB">
        <w:t xml:space="preserve">Hammond FM, Perkins SM, Corrigan JD, </w:t>
      </w:r>
      <w:proofErr w:type="spellStart"/>
      <w:r w:rsidRPr="007D28BB">
        <w:t>Nakase</w:t>
      </w:r>
      <w:proofErr w:type="spellEnd"/>
      <w:r w:rsidRPr="007D28BB">
        <w:t>-Richardson R, Brown AW, O'Neil-</w:t>
      </w:r>
      <w:proofErr w:type="spellStart"/>
      <w:r w:rsidRPr="007D28BB">
        <w:t>Pirozzi</w:t>
      </w:r>
      <w:proofErr w:type="spellEnd"/>
      <w:r w:rsidRPr="007D28BB">
        <w:t xml:space="preserve"> TM, et al. Functional change from five to fifteen years after traumatic brain injury. J </w:t>
      </w:r>
      <w:proofErr w:type="spellStart"/>
      <w:r w:rsidRPr="007D28BB">
        <w:t>Neurotrauma</w:t>
      </w:r>
      <w:proofErr w:type="spellEnd"/>
      <w:r w:rsidRPr="007D28BB">
        <w:t xml:space="preserve">. 2020. doi:10.1089/neu.2020.7287. </w:t>
      </w:r>
    </w:p>
    <w:p w:rsidR="007D28BB" w:rsidRPr="007D28BB" w:rsidRDefault="007D28BB" w:rsidP="007D28BB">
      <w:pPr>
        <w:pStyle w:val="Body"/>
        <w:numPr>
          <w:ilvl w:val="0"/>
          <w:numId w:val="18"/>
        </w:numPr>
      </w:pPr>
      <w:r w:rsidRPr="007D28BB">
        <w:t xml:space="preserve">Keenan HT, Clark AE, </w:t>
      </w:r>
      <w:proofErr w:type="spellStart"/>
      <w:r w:rsidRPr="007D28BB">
        <w:t>Holubkov</w:t>
      </w:r>
      <w:proofErr w:type="spellEnd"/>
      <w:r w:rsidRPr="007D28BB">
        <w:t xml:space="preserve"> R, Cox CS, Ewing-</w:t>
      </w:r>
      <w:proofErr w:type="spellStart"/>
      <w:r w:rsidRPr="007D28BB">
        <w:t>Cobbs</w:t>
      </w:r>
      <w:proofErr w:type="spellEnd"/>
      <w:r w:rsidRPr="007D28BB">
        <w:t xml:space="preserve"> L. Trajectories of children’s executive function after traumatic brain injury. JAMA </w:t>
      </w:r>
      <w:proofErr w:type="spellStart"/>
      <w:r w:rsidRPr="007D28BB">
        <w:t>Netw</w:t>
      </w:r>
      <w:proofErr w:type="spellEnd"/>
      <w:r w:rsidRPr="007D28BB">
        <w:t xml:space="preserve"> Open. 2021. doi:10.1001/jamanetworkopen.2021.2624. </w:t>
      </w:r>
    </w:p>
    <w:p w:rsidR="007D28BB" w:rsidRPr="007D28BB" w:rsidRDefault="007D28BB" w:rsidP="007D28BB">
      <w:pPr>
        <w:pStyle w:val="Body"/>
        <w:numPr>
          <w:ilvl w:val="0"/>
          <w:numId w:val="18"/>
        </w:numPr>
      </w:pPr>
      <w:proofErr w:type="spellStart"/>
      <w:r w:rsidRPr="007D28BB">
        <w:t>Korley</w:t>
      </w:r>
      <w:proofErr w:type="spellEnd"/>
      <w:r w:rsidRPr="007D28BB">
        <w:t xml:space="preserve"> FK, Jain S, Sun X, </w:t>
      </w:r>
      <w:proofErr w:type="spellStart"/>
      <w:r w:rsidRPr="007D28BB">
        <w:t>Puccio</w:t>
      </w:r>
      <w:proofErr w:type="spellEnd"/>
      <w:r w:rsidRPr="007D28BB">
        <w:t xml:space="preserve"> AM, </w:t>
      </w:r>
      <w:proofErr w:type="spellStart"/>
      <w:r w:rsidRPr="007D28BB">
        <w:t>Yue</w:t>
      </w:r>
      <w:proofErr w:type="spellEnd"/>
      <w:r w:rsidRPr="007D28BB">
        <w:t xml:space="preserve"> JK, Gardner RC, et al. Prognostic value of day-of-injury plasma GFAP and UCH-L1 concentrations for predicting functional recovery after traumatic brain injury </w:t>
      </w:r>
      <w:r w:rsidRPr="007D28BB">
        <w:lastRenderedPageBreak/>
        <w:t xml:space="preserve">in patients from the US TRACK-TBI cohort: An observational cohort study. Lancet Neurol. 2022. </w:t>
      </w:r>
      <w:proofErr w:type="gramStart"/>
      <w:r w:rsidRPr="007D28BB">
        <w:t>doi:</w:t>
      </w:r>
      <w:proofErr w:type="gramEnd"/>
      <w:r w:rsidRPr="007D28BB">
        <w:t xml:space="preserve">10.1016/S1474-4422(22)00256-3. </w:t>
      </w:r>
    </w:p>
    <w:p w:rsidR="007D28BB" w:rsidRPr="007D28BB" w:rsidRDefault="007D28BB" w:rsidP="007D28BB">
      <w:pPr>
        <w:pStyle w:val="Body"/>
        <w:numPr>
          <w:ilvl w:val="0"/>
          <w:numId w:val="18"/>
        </w:numPr>
      </w:pPr>
      <w:r w:rsidRPr="007D28BB">
        <w:t xml:space="preserve">Kowalski RG, Hammond FM, </w:t>
      </w:r>
      <w:proofErr w:type="spellStart"/>
      <w:r w:rsidRPr="007D28BB">
        <w:t>Weintraub</w:t>
      </w:r>
      <w:proofErr w:type="spellEnd"/>
      <w:r w:rsidRPr="007D28BB">
        <w:t xml:space="preserve"> AH, </w:t>
      </w:r>
      <w:proofErr w:type="spellStart"/>
      <w:r w:rsidRPr="007D28BB">
        <w:t>Nakase</w:t>
      </w:r>
      <w:proofErr w:type="spellEnd"/>
      <w:r w:rsidRPr="007D28BB">
        <w:t xml:space="preserve">-Richardson R, </w:t>
      </w:r>
      <w:proofErr w:type="spellStart"/>
      <w:r w:rsidRPr="007D28BB">
        <w:t>Zafonte</w:t>
      </w:r>
      <w:proofErr w:type="spellEnd"/>
      <w:r w:rsidRPr="007D28BB">
        <w:t xml:space="preserve"> RD, Whyte J, et al. Recovery of consciousness and functional outcome in moderate and severe traumatic brain injury. JAMA Neurol. 2021. doi:10.1001/jamaneurol.2021.0084. </w:t>
      </w:r>
    </w:p>
    <w:p w:rsidR="007D28BB" w:rsidRPr="007D28BB" w:rsidRDefault="007D28BB" w:rsidP="007D28BB">
      <w:pPr>
        <w:pStyle w:val="Body"/>
        <w:numPr>
          <w:ilvl w:val="0"/>
          <w:numId w:val="18"/>
        </w:numPr>
      </w:pPr>
      <w:r w:rsidRPr="007D28BB">
        <w:t xml:space="preserve">Lowe A, </w:t>
      </w:r>
      <w:proofErr w:type="spellStart"/>
      <w:r w:rsidRPr="007D28BB">
        <w:t>Neligan</w:t>
      </w:r>
      <w:proofErr w:type="spellEnd"/>
      <w:r w:rsidRPr="007D28BB">
        <w:t xml:space="preserve"> A, Greenwood R. Sleep disturbance and recovery during rehabilitation after traumatic brain injury: A systematic review. </w:t>
      </w:r>
      <w:proofErr w:type="spellStart"/>
      <w:r w:rsidRPr="007D28BB">
        <w:t>Disabil</w:t>
      </w:r>
      <w:proofErr w:type="spellEnd"/>
      <w:r w:rsidRPr="007D28BB">
        <w:t xml:space="preserve"> </w:t>
      </w:r>
      <w:proofErr w:type="spellStart"/>
      <w:r w:rsidRPr="007D28BB">
        <w:t>Rehabil</w:t>
      </w:r>
      <w:proofErr w:type="spellEnd"/>
      <w:r w:rsidRPr="007D28BB">
        <w:t xml:space="preserve">. 2020. doi:10.1080/09638288.2018.1516819. </w:t>
      </w:r>
    </w:p>
    <w:p w:rsidR="007D28BB" w:rsidRPr="007D28BB" w:rsidRDefault="007D28BB" w:rsidP="007D28BB">
      <w:pPr>
        <w:pStyle w:val="Body"/>
        <w:numPr>
          <w:ilvl w:val="0"/>
          <w:numId w:val="18"/>
        </w:numPr>
      </w:pPr>
      <w:r w:rsidRPr="007D28BB">
        <w:t xml:space="preserve">McCrea MA, </w:t>
      </w:r>
      <w:proofErr w:type="spellStart"/>
      <w:r w:rsidRPr="007D28BB">
        <w:t>Giacino</w:t>
      </w:r>
      <w:proofErr w:type="spellEnd"/>
      <w:r w:rsidRPr="007D28BB">
        <w:t xml:space="preserve"> JT, Barber J, </w:t>
      </w:r>
      <w:proofErr w:type="spellStart"/>
      <w:r w:rsidRPr="007D28BB">
        <w:t>Temkin</w:t>
      </w:r>
      <w:proofErr w:type="spellEnd"/>
      <w:r w:rsidRPr="007D28BB">
        <w:t xml:space="preserve"> NR, Nelson LD, Levin HS, et al. Functional outcomes over the first year after moderate to severe traumatic brain injury in the prospective, longitudinal TRACK-TBI study. JAMA Neurol. 2021. doi:10.1001/jamaneurol.2021.2043. </w:t>
      </w:r>
    </w:p>
    <w:p w:rsidR="007D28BB" w:rsidRPr="007D28BB" w:rsidRDefault="007D28BB" w:rsidP="007D28BB">
      <w:pPr>
        <w:pStyle w:val="Body"/>
        <w:numPr>
          <w:ilvl w:val="0"/>
          <w:numId w:val="18"/>
        </w:numPr>
      </w:pPr>
      <w:r w:rsidRPr="007D28BB">
        <w:t xml:space="preserve">Nelson LD, </w:t>
      </w:r>
      <w:proofErr w:type="spellStart"/>
      <w:r w:rsidRPr="007D28BB">
        <w:t>Temkin</w:t>
      </w:r>
      <w:proofErr w:type="spellEnd"/>
      <w:r w:rsidRPr="007D28BB">
        <w:t xml:space="preserve"> NR, Barber J, Brett BL, </w:t>
      </w:r>
      <w:proofErr w:type="spellStart"/>
      <w:r w:rsidRPr="007D28BB">
        <w:t>Okonkwo</w:t>
      </w:r>
      <w:proofErr w:type="spellEnd"/>
      <w:r w:rsidRPr="007D28BB">
        <w:t xml:space="preserve"> DO, McCrea MA, et al. Functional recovery, symptoms, and quality of life 1 to 5 years after traumatic brain injury. JAMA </w:t>
      </w:r>
      <w:proofErr w:type="spellStart"/>
      <w:r w:rsidRPr="007D28BB">
        <w:t>Netw</w:t>
      </w:r>
      <w:proofErr w:type="spellEnd"/>
      <w:r w:rsidRPr="007D28BB">
        <w:t xml:space="preserve"> Open. 2023</w:t>
      </w:r>
      <w:proofErr w:type="gramStart"/>
      <w:r w:rsidRPr="007D28BB">
        <w:t>;6</w:t>
      </w:r>
      <w:proofErr w:type="gramEnd"/>
      <w:r w:rsidRPr="007D28BB">
        <w:t xml:space="preserve">(3):e233660. doi:10.1001/jamanetworkopen.2023.3660. </w:t>
      </w:r>
    </w:p>
    <w:p w:rsidR="007D28BB" w:rsidRPr="007D28BB" w:rsidRDefault="007D28BB" w:rsidP="007D28BB">
      <w:pPr>
        <w:pStyle w:val="Body"/>
        <w:numPr>
          <w:ilvl w:val="0"/>
          <w:numId w:val="18"/>
        </w:numPr>
      </w:pPr>
      <w:r w:rsidRPr="007D28BB">
        <w:t xml:space="preserve">Ritter J, Dawson J, Singh R. Functional recovery after brain injury: Independent predictors of psychosocial outcome one year after TBI. </w:t>
      </w:r>
      <w:proofErr w:type="spellStart"/>
      <w:r w:rsidRPr="007D28BB">
        <w:t>Clin</w:t>
      </w:r>
      <w:proofErr w:type="spellEnd"/>
      <w:r w:rsidRPr="007D28BB">
        <w:t xml:space="preserve"> </w:t>
      </w:r>
      <w:proofErr w:type="spellStart"/>
      <w:r w:rsidRPr="007D28BB">
        <w:t>Neurol</w:t>
      </w:r>
      <w:proofErr w:type="spellEnd"/>
      <w:r w:rsidRPr="007D28BB">
        <w:t xml:space="preserve"> </w:t>
      </w:r>
      <w:proofErr w:type="spellStart"/>
      <w:r w:rsidRPr="007D28BB">
        <w:t>Neurosurg</w:t>
      </w:r>
      <w:proofErr w:type="spellEnd"/>
      <w:r w:rsidRPr="007D28BB">
        <w:t xml:space="preserve">. 2021. doi:10.1016/j.clineuro.2021.106561. </w:t>
      </w:r>
    </w:p>
    <w:p w:rsidR="007D28BB" w:rsidRPr="007D28BB" w:rsidRDefault="007D28BB" w:rsidP="007D28BB">
      <w:pPr>
        <w:pStyle w:val="Body"/>
        <w:numPr>
          <w:ilvl w:val="0"/>
          <w:numId w:val="18"/>
        </w:numPr>
      </w:pPr>
      <w:r w:rsidRPr="007D28BB">
        <w:t xml:space="preserve">Silva NM, </w:t>
      </w:r>
      <w:proofErr w:type="spellStart"/>
      <w:r w:rsidRPr="007D28BB">
        <w:t>Cowie</w:t>
      </w:r>
      <w:proofErr w:type="spellEnd"/>
      <w:r w:rsidRPr="007D28BB">
        <w:t xml:space="preserve"> C, </w:t>
      </w:r>
      <w:proofErr w:type="spellStart"/>
      <w:r w:rsidRPr="007D28BB">
        <w:t>Blamire</w:t>
      </w:r>
      <w:proofErr w:type="spellEnd"/>
      <w:r w:rsidRPr="007D28BB">
        <w:t xml:space="preserve"> A, Forsyth R, Taylor P. Investigating brain network changes and their association with cognitive recovery after traumatic brain injury: A longitudinal analysis. Front Neurol. 2020. doi:10.3389/fneur.2020.00369. </w:t>
      </w:r>
    </w:p>
    <w:p w:rsidR="007D28BB" w:rsidRPr="007D28BB" w:rsidRDefault="007D28BB" w:rsidP="007D28BB">
      <w:pPr>
        <w:pStyle w:val="Body"/>
        <w:numPr>
          <w:ilvl w:val="0"/>
          <w:numId w:val="18"/>
        </w:numPr>
      </w:pPr>
      <w:proofErr w:type="spellStart"/>
      <w:r w:rsidRPr="007D28BB">
        <w:t>Sveen</w:t>
      </w:r>
      <w:proofErr w:type="spellEnd"/>
      <w:r w:rsidRPr="007D28BB">
        <w:t xml:space="preserve"> U, </w:t>
      </w:r>
      <w:proofErr w:type="spellStart"/>
      <w:r w:rsidRPr="007D28BB">
        <w:t>Guldager</w:t>
      </w:r>
      <w:proofErr w:type="spellEnd"/>
      <w:r w:rsidRPr="007D28BB">
        <w:t xml:space="preserve"> R, </w:t>
      </w:r>
      <w:proofErr w:type="spellStart"/>
      <w:r w:rsidRPr="007D28BB">
        <w:t>Søberg</w:t>
      </w:r>
      <w:proofErr w:type="spellEnd"/>
      <w:r w:rsidRPr="007D28BB">
        <w:t xml:space="preserve"> HL, </w:t>
      </w:r>
      <w:proofErr w:type="spellStart"/>
      <w:r w:rsidRPr="007D28BB">
        <w:t>Andreassen</w:t>
      </w:r>
      <w:proofErr w:type="spellEnd"/>
      <w:r w:rsidRPr="007D28BB">
        <w:t xml:space="preserve"> TA, </w:t>
      </w:r>
      <w:proofErr w:type="spellStart"/>
      <w:r w:rsidRPr="007D28BB">
        <w:t>Egerod</w:t>
      </w:r>
      <w:proofErr w:type="spellEnd"/>
      <w:r w:rsidRPr="007D28BB">
        <w:t xml:space="preserve"> I, </w:t>
      </w:r>
      <w:proofErr w:type="spellStart"/>
      <w:r w:rsidRPr="007D28BB">
        <w:t>Poulsen</w:t>
      </w:r>
      <w:proofErr w:type="spellEnd"/>
      <w:r w:rsidRPr="007D28BB">
        <w:t xml:space="preserve"> I. Rehabilitation interventions after traumatic brain injury: A scoping review. </w:t>
      </w:r>
      <w:proofErr w:type="spellStart"/>
      <w:r w:rsidRPr="007D28BB">
        <w:t>Disabil</w:t>
      </w:r>
      <w:proofErr w:type="spellEnd"/>
      <w:r w:rsidRPr="007D28BB">
        <w:t xml:space="preserve"> </w:t>
      </w:r>
      <w:proofErr w:type="spellStart"/>
      <w:r w:rsidRPr="007D28BB">
        <w:t>Rehabil</w:t>
      </w:r>
      <w:proofErr w:type="spellEnd"/>
      <w:r w:rsidRPr="007D28BB">
        <w:t xml:space="preserve">. 2020. doi:10.1080/09638288.2020.1773940. </w:t>
      </w:r>
    </w:p>
    <w:p w:rsidR="007D28BB" w:rsidRPr="007D28BB" w:rsidRDefault="007D28BB" w:rsidP="007D28BB">
      <w:pPr>
        <w:pStyle w:val="Body"/>
        <w:numPr>
          <w:ilvl w:val="0"/>
          <w:numId w:val="18"/>
        </w:numPr>
      </w:pPr>
      <w:proofErr w:type="spellStart"/>
      <w:r w:rsidRPr="007D28BB">
        <w:t>Tiefenbach</w:t>
      </w:r>
      <w:proofErr w:type="spellEnd"/>
      <w:r w:rsidRPr="007D28BB">
        <w:t xml:space="preserve"> J, Chan HH, Machado AG, Baker KB. </w:t>
      </w:r>
      <w:proofErr w:type="spellStart"/>
      <w:r w:rsidRPr="007D28BB">
        <w:t>Neurostimulation</w:t>
      </w:r>
      <w:proofErr w:type="spellEnd"/>
      <w:r w:rsidRPr="007D28BB">
        <w:t xml:space="preserve"> for functional recovery after traumatic brain injury: Current evidence and future directions for invasive surgical approaches. Neurosurgery. 2022</w:t>
      </w:r>
      <w:proofErr w:type="gramStart"/>
      <w:r w:rsidRPr="007D28BB">
        <w:t>;91</w:t>
      </w:r>
      <w:proofErr w:type="gramEnd"/>
      <w:r w:rsidRPr="007D28BB">
        <w:t xml:space="preserve">(6):823-30. doi:10.1227/NEU.0000000000002134. </w:t>
      </w:r>
    </w:p>
    <w:p w:rsidR="007D28BB" w:rsidRPr="007D28BB" w:rsidRDefault="007D28BB" w:rsidP="007D28BB">
      <w:pPr>
        <w:pStyle w:val="Body"/>
        <w:numPr>
          <w:ilvl w:val="0"/>
          <w:numId w:val="18"/>
        </w:numPr>
      </w:pPr>
      <w:proofErr w:type="spellStart"/>
      <w:r w:rsidRPr="007D28BB">
        <w:t>Verduzco</w:t>
      </w:r>
      <w:proofErr w:type="spellEnd"/>
      <w:r w:rsidRPr="007D28BB">
        <w:t xml:space="preserve">-Mendoza A, Carrillo-Mora P, Avila-Luna A, </w:t>
      </w:r>
      <w:proofErr w:type="spellStart"/>
      <w:r w:rsidRPr="007D28BB">
        <w:t>Gálvez</w:t>
      </w:r>
      <w:proofErr w:type="spellEnd"/>
      <w:r w:rsidRPr="007D28BB">
        <w:t xml:space="preserve">-Rosas A, Olmos-Hernández A, </w:t>
      </w:r>
      <w:proofErr w:type="spellStart"/>
      <w:r w:rsidRPr="007D28BB">
        <w:t>Mota</w:t>
      </w:r>
      <w:proofErr w:type="spellEnd"/>
      <w:r w:rsidRPr="007D28BB">
        <w:t xml:space="preserve">-Rojas D, et al. Role of the dopaminergic system in the striatum and its association with functional recovery or rehabilitation after brain injury. Front </w:t>
      </w:r>
      <w:proofErr w:type="spellStart"/>
      <w:r w:rsidRPr="007D28BB">
        <w:t>Neurosci</w:t>
      </w:r>
      <w:proofErr w:type="spellEnd"/>
      <w:r w:rsidRPr="007D28BB">
        <w:t xml:space="preserve">. 2021. doi:10.3389/fnins.2021.693404. </w:t>
      </w:r>
    </w:p>
    <w:p w:rsidR="007D28BB" w:rsidRPr="007D28BB" w:rsidRDefault="007D28BB" w:rsidP="007D28BB">
      <w:pPr>
        <w:pStyle w:val="Body"/>
        <w:numPr>
          <w:ilvl w:val="0"/>
          <w:numId w:val="18"/>
        </w:numPr>
      </w:pPr>
      <w:r w:rsidRPr="007D28BB">
        <w:t xml:space="preserve">Whyte J, </w:t>
      </w:r>
      <w:proofErr w:type="spellStart"/>
      <w:r w:rsidRPr="007D28BB">
        <w:t>Giacino</w:t>
      </w:r>
      <w:proofErr w:type="spellEnd"/>
      <w:r w:rsidRPr="007D28BB">
        <w:t xml:space="preserve"> JT, Heinemann AW, </w:t>
      </w:r>
      <w:proofErr w:type="spellStart"/>
      <w:r w:rsidRPr="007D28BB">
        <w:t>Bodien</w:t>
      </w:r>
      <w:proofErr w:type="spellEnd"/>
      <w:r w:rsidRPr="007D28BB">
        <w:t xml:space="preserve"> YG, Hart T, </w:t>
      </w:r>
      <w:proofErr w:type="spellStart"/>
      <w:r w:rsidRPr="007D28BB">
        <w:t>Sherer</w:t>
      </w:r>
      <w:proofErr w:type="spellEnd"/>
      <w:r w:rsidRPr="007D28BB">
        <w:t xml:space="preserve"> M, et al. Brain injury functional outcome measure (BI-FOM): A single instrument capturing the range of recovery in moderate-severe traumatic brain injury. Arch </w:t>
      </w:r>
      <w:proofErr w:type="spellStart"/>
      <w:r w:rsidRPr="007D28BB">
        <w:t>Phys</w:t>
      </w:r>
      <w:proofErr w:type="spellEnd"/>
      <w:r w:rsidRPr="007D28BB">
        <w:t xml:space="preserve"> Med </w:t>
      </w:r>
      <w:proofErr w:type="spellStart"/>
      <w:r w:rsidRPr="007D28BB">
        <w:t>Rehabil</w:t>
      </w:r>
      <w:proofErr w:type="spellEnd"/>
      <w:r w:rsidRPr="007D28BB">
        <w:t xml:space="preserve">. 2020. doi:10.1016/j.apmr.2020.09.377. </w:t>
      </w:r>
    </w:p>
    <w:p w:rsidR="007D28BB" w:rsidRPr="007D28BB" w:rsidRDefault="007D28BB" w:rsidP="007D28BB">
      <w:pPr>
        <w:pStyle w:val="Body"/>
        <w:numPr>
          <w:ilvl w:val="0"/>
          <w:numId w:val="18"/>
        </w:numPr>
      </w:pPr>
      <w:r w:rsidRPr="007D28BB">
        <w:t xml:space="preserve">Wilson L, Horton L, </w:t>
      </w:r>
      <w:proofErr w:type="spellStart"/>
      <w:r w:rsidRPr="007D28BB">
        <w:t>Kunzmann</w:t>
      </w:r>
      <w:proofErr w:type="spellEnd"/>
      <w:r w:rsidRPr="007D28BB">
        <w:t xml:space="preserve"> K, </w:t>
      </w:r>
      <w:proofErr w:type="spellStart"/>
      <w:r w:rsidRPr="007D28BB">
        <w:t>Sahakian</w:t>
      </w:r>
      <w:proofErr w:type="spellEnd"/>
      <w:r w:rsidRPr="007D28BB">
        <w:t xml:space="preserve"> BJ, </w:t>
      </w:r>
      <w:proofErr w:type="spellStart"/>
      <w:r w:rsidRPr="007D28BB">
        <w:t>Newcombe</w:t>
      </w:r>
      <w:proofErr w:type="spellEnd"/>
      <w:r w:rsidRPr="007D28BB">
        <w:t xml:space="preserve"> VFJ, </w:t>
      </w:r>
      <w:proofErr w:type="spellStart"/>
      <w:r w:rsidRPr="007D28BB">
        <w:t>Stamatakis</w:t>
      </w:r>
      <w:proofErr w:type="spellEnd"/>
      <w:r w:rsidRPr="007D28BB">
        <w:t xml:space="preserve"> EA, et al. Understanding the relationship between cognitive performance and function in daily life after traumatic brain injury. J </w:t>
      </w:r>
      <w:proofErr w:type="spellStart"/>
      <w:r w:rsidRPr="007D28BB">
        <w:t>Neurol</w:t>
      </w:r>
      <w:proofErr w:type="spellEnd"/>
      <w:r w:rsidRPr="007D28BB">
        <w:t xml:space="preserve"> </w:t>
      </w:r>
      <w:proofErr w:type="spellStart"/>
      <w:r w:rsidRPr="007D28BB">
        <w:t>Neurosurg</w:t>
      </w:r>
      <w:proofErr w:type="spellEnd"/>
      <w:r w:rsidRPr="007D28BB">
        <w:t xml:space="preserve"> Psychiatry. 2020</w:t>
      </w:r>
      <w:proofErr w:type="gramStart"/>
      <w:r w:rsidRPr="007D28BB">
        <w:t>;92</w:t>
      </w:r>
      <w:proofErr w:type="gramEnd"/>
      <w:r w:rsidRPr="007D28BB">
        <w:t xml:space="preserve">(4):407-17. </w:t>
      </w:r>
      <w:proofErr w:type="gramStart"/>
      <w:r w:rsidRPr="007D28BB">
        <w:t>doi:</w:t>
      </w:r>
      <w:proofErr w:type="gramEnd"/>
      <w:r w:rsidRPr="007D28BB">
        <w:t xml:space="preserve">10.1136/jnnp-2020-324492. </w:t>
      </w:r>
    </w:p>
    <w:p w:rsidR="007D28BB" w:rsidRPr="007D28BB" w:rsidRDefault="007D28BB" w:rsidP="007D28BB">
      <w:pPr>
        <w:pStyle w:val="Body"/>
        <w:numPr>
          <w:ilvl w:val="0"/>
          <w:numId w:val="18"/>
        </w:numPr>
      </w:pPr>
      <w:r w:rsidRPr="007D28BB">
        <w:t xml:space="preserve">Wilson L, Horton L, </w:t>
      </w:r>
      <w:proofErr w:type="spellStart"/>
      <w:r w:rsidRPr="007D28BB">
        <w:t>Polinder</w:t>
      </w:r>
      <w:proofErr w:type="spellEnd"/>
      <w:r w:rsidRPr="007D28BB">
        <w:t xml:space="preserve"> S, </w:t>
      </w:r>
      <w:proofErr w:type="spellStart"/>
      <w:r w:rsidRPr="007D28BB">
        <w:t>Newcombe</w:t>
      </w:r>
      <w:proofErr w:type="spellEnd"/>
      <w:r w:rsidRPr="007D28BB">
        <w:t xml:space="preserve"> VF, von </w:t>
      </w:r>
      <w:proofErr w:type="spellStart"/>
      <w:r w:rsidRPr="007D28BB">
        <w:t>Steinbüchel</w:t>
      </w:r>
      <w:proofErr w:type="spellEnd"/>
      <w:r w:rsidRPr="007D28BB">
        <w:t xml:space="preserve"> N, Maas AIR, </w:t>
      </w:r>
      <w:proofErr w:type="spellStart"/>
      <w:r w:rsidRPr="007D28BB">
        <w:t>Menon</w:t>
      </w:r>
      <w:proofErr w:type="spellEnd"/>
      <w:r w:rsidRPr="007D28BB">
        <w:t xml:space="preserve"> DK. Tailoring multi-dimensional outcomes to level of functional recovery after traumatic brain injury. J </w:t>
      </w:r>
      <w:proofErr w:type="spellStart"/>
      <w:r w:rsidRPr="007D28BB">
        <w:t>Neurotrauma</w:t>
      </w:r>
      <w:proofErr w:type="spellEnd"/>
      <w:r w:rsidRPr="007D28BB">
        <w:t xml:space="preserve">. 2022. doi:10.1089/neu.2022.0013. </w:t>
      </w:r>
    </w:p>
    <w:p w:rsidR="007D28BB" w:rsidRPr="007D28BB" w:rsidRDefault="007D28BB" w:rsidP="007D28BB">
      <w:pPr>
        <w:pStyle w:val="Body"/>
        <w:numPr>
          <w:ilvl w:val="0"/>
          <w:numId w:val="18"/>
        </w:numPr>
      </w:pPr>
      <w:proofErr w:type="spellStart"/>
      <w:r w:rsidRPr="007D28BB">
        <w:t>Zoghi</w:t>
      </w:r>
      <w:proofErr w:type="spellEnd"/>
      <w:r w:rsidRPr="007D28BB">
        <w:t xml:space="preserve"> S, Ansari A, </w:t>
      </w:r>
      <w:proofErr w:type="spellStart"/>
      <w:r w:rsidRPr="007D28BB">
        <w:t>Niakan</w:t>
      </w:r>
      <w:proofErr w:type="spellEnd"/>
      <w:r w:rsidRPr="007D28BB">
        <w:t xml:space="preserve"> A, </w:t>
      </w:r>
      <w:proofErr w:type="spellStart"/>
      <w:r w:rsidRPr="007D28BB">
        <w:t>Taheri</w:t>
      </w:r>
      <w:proofErr w:type="spellEnd"/>
      <w:r w:rsidRPr="007D28BB">
        <w:t xml:space="preserve"> R, </w:t>
      </w:r>
      <w:proofErr w:type="spellStart"/>
      <w:r w:rsidRPr="007D28BB">
        <w:t>Khalili</w:t>
      </w:r>
      <w:proofErr w:type="spellEnd"/>
      <w:r w:rsidRPr="007D28BB">
        <w:t xml:space="preserve"> H. Post discharge six-month functional recovery of traumatic brain injury survivors with unfavorable functional status at discharge: A registry-based cohort study. World </w:t>
      </w:r>
      <w:proofErr w:type="spellStart"/>
      <w:r w:rsidRPr="007D28BB">
        <w:t>Neurosurg</w:t>
      </w:r>
      <w:proofErr w:type="spellEnd"/>
      <w:r w:rsidRPr="007D28BB">
        <w:t xml:space="preserve">. 2024. doi:10.1016/j.wneu.2024.06.116. </w:t>
      </w:r>
    </w:p>
    <w:p w:rsidR="00441E67" w:rsidRPr="004175AC" w:rsidRDefault="00441E67" w:rsidP="007D28BB">
      <w:pPr>
        <w:pStyle w:val="Body"/>
      </w:pPr>
    </w:p>
    <w:sectPr w:rsidR="00441E67" w:rsidRPr="004175AC" w:rsidSect="00D04D32">
      <w:headerReference w:type="default" r:id="rId10"/>
      <w:headerReference w:type="first" r:id="rId11"/>
      <w:footerReference w:type="first" r:id="rId12"/>
      <w:type w:val="continuous"/>
      <w:pgSz w:w="11907" w:h="16840" w:code="9"/>
      <w:pgMar w:top="1008" w:right="1440" w:bottom="1008" w:left="1440" w:header="576" w:footer="576" w:gutter="0"/>
      <w:cols w:space="28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0027" w:rsidRDefault="00AD0027" w:rsidP="005146DA">
      <w:pPr>
        <w:spacing w:after="0" w:line="240" w:lineRule="auto"/>
      </w:pPr>
      <w:r>
        <w:separator/>
      </w:r>
    </w:p>
  </w:endnote>
  <w:endnote w:type="continuationSeparator" w:id="0">
    <w:p w:rsidR="00AD0027" w:rsidRDefault="00AD0027" w:rsidP="00514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Plantagenet Cherokee">
    <w:charset w:val="00"/>
    <w:family w:val="roman"/>
    <w:pitch w:val="variable"/>
    <w:sig w:usb0="00000003" w:usb1="00000000" w:usb2="00001000" w:usb3="00000000" w:csb0="00000001" w:csb1="00000000"/>
  </w:font>
  <w:font w:name="Aptos Display">
    <w:altName w:val="Arial"/>
    <w:charset w:val="00"/>
    <w:family w:val="swiss"/>
    <w:pitch w:val="variable"/>
    <w:sig w:usb0="00000001" w:usb1="00000003" w:usb2="00000000" w:usb3="00000000" w:csb0="0000019F" w:csb1="00000000"/>
  </w:font>
  <w:font w:name="等线 Light">
    <w:panose1 w:val="00000000000000000000"/>
    <w:charset w:val="80"/>
    <w:family w:val="roman"/>
    <w:notTrueType/>
    <w:pitch w:val="default"/>
  </w:font>
  <w:font w:name="Minion Pro SmBd">
    <w:altName w:val="Cambria"/>
    <w:panose1 w:val="00000000000000000000"/>
    <w:charset w:val="00"/>
    <w:family w:val="roman"/>
    <w:notTrueType/>
    <w:pitch w:val="variable"/>
    <w:sig w:usb0="E00002AF" w:usb1="5000E07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Barlow">
    <w:altName w:val="Times New Roman"/>
    <w:charset w:val="00"/>
    <w:family w:val="auto"/>
    <w:pitch w:val="variable"/>
    <w:sig w:usb0="00000001" w:usb1="00000000" w:usb2="00000000" w:usb3="00000000" w:csb0="00000193" w:csb1="00000000"/>
  </w:font>
  <w:font w:name="Calibri">
    <w:panose1 w:val="020F0502020204030204"/>
    <w:charset w:val="00"/>
    <w:family w:val="swiss"/>
    <w:pitch w:val="variable"/>
    <w:sig w:usb0="E4002EFF" w:usb1="C000247B" w:usb2="00000009" w:usb3="00000000" w:csb0="000001FF" w:csb1="00000000"/>
  </w:font>
  <w:font w:name="Minion Pro">
    <w:altName w:val="Cambria"/>
    <w:panose1 w:val="00000000000000000000"/>
    <w:charset w:val="00"/>
    <w:family w:val="roman"/>
    <w:notTrueType/>
    <w:pitch w:val="variable"/>
    <w:sig w:usb0="E00002AF" w:usb1="5000E07B" w:usb2="00000000" w:usb3="00000000" w:csb0="0000019F" w:csb1="00000000"/>
  </w:font>
  <w:font w:name="Kermit Thin Expanded">
    <w:charset w:val="00"/>
    <w:family w:val="swiss"/>
    <w:pitch w:val="variable"/>
    <w:sig w:usb0="800002AF" w:usb1="5000204A" w:usb2="00000000" w:usb3="00000000" w:csb0="0000019F" w:csb1="00000000"/>
  </w:font>
  <w:font w:name="Khmer UI">
    <w:charset w:val="00"/>
    <w:family w:val="swiss"/>
    <w:pitch w:val="variable"/>
    <w:sig w:usb0="80000003" w:usb1="00000000" w:usb2="00010000" w:usb3="00000000" w:csb0="00000001" w:csb1="00000000"/>
  </w:font>
  <w:font w:name="等线">
    <w:panose1 w:val="00000000000000000000"/>
    <w:charset w:val="8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6627F" w:rsidRPr="00BC0607" w:rsidRDefault="00C6627F" w:rsidP="00C6627F">
    <w:pPr>
      <w:pBdr>
        <w:bottom w:val="single" w:sz="6" w:space="1" w:color="auto"/>
      </w:pBdr>
      <w:rPr>
        <w:rFonts w:ascii="Plantagenet Cherokee" w:hAnsi="Plantagenet Cherokee" w:cstheme="majorBidi"/>
        <w:sz w:val="8"/>
        <w:szCs w:val="8"/>
        <w:lang w:val="en-US"/>
      </w:rPr>
    </w:pPr>
  </w:p>
  <w:p w:rsidR="008F6C61" w:rsidRPr="008F6C61" w:rsidRDefault="008F6C61" w:rsidP="008F6C61">
    <w:pPr>
      <w:pStyle w:val="NoSpacing"/>
      <w:jc w:val="right"/>
      <w:rPr>
        <w:rFonts w:ascii="Plantagenet Cherokee" w:hAnsi="Plantagenet Cherokee"/>
        <w:color w:val="074F6A"/>
        <w:sz w:val="12"/>
        <w:szCs w:val="12"/>
        <w:lang w:val="en-US"/>
      </w:rPr>
    </w:pPr>
    <w:r w:rsidRPr="008F6C61">
      <w:rPr>
        <w:noProof/>
        <w:color w:val="074F6A"/>
        <w:lang w:val="en-US"/>
      </w:rPr>
      <w:drawing>
        <wp:anchor distT="0" distB="0" distL="114300" distR="114300" simplePos="0" relativeHeight="251658240" behindDoc="0" locked="0" layoutInCell="1" allowOverlap="1" wp14:anchorId="08A52D60" wp14:editId="09A01D2D">
          <wp:simplePos x="0" y="0"/>
          <wp:positionH relativeFrom="margin">
            <wp:align>left</wp:align>
          </wp:positionH>
          <wp:positionV relativeFrom="paragraph">
            <wp:posOffset>3175</wp:posOffset>
          </wp:positionV>
          <wp:extent cx="640143" cy="184049"/>
          <wp:effectExtent l="0" t="0" r="7620" b="6985"/>
          <wp:wrapNone/>
          <wp:docPr id="1289534719" name="Picture 1" descr="Link Medical Institut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534719" name="Picture 1" descr="Link Medical Institute logo">
                    <a:hlinkClick r:id="rId1"/>
                  </pic:cNvPr>
                  <pic:cNvPicPr>
                    <a:picLocks noChangeAspect="1" noChangeArrowheads="1"/>
                  </pic:cNvPicPr>
                </pic:nvPicPr>
                <pic:blipFill>
                  <a:blip r:embed="rId2" cstate="print">
                    <a:biLevel thresh="75000"/>
                    <a:extLst>
                      <a:ext uri="{28A0092B-C50C-407E-A947-70E740481C1C}">
                        <a14:useLocalDpi xmlns:a14="http://schemas.microsoft.com/office/drawing/2010/main" val="0"/>
                      </a:ext>
                    </a:extLst>
                  </a:blip>
                  <a:srcRect/>
                  <a:stretch>
                    <a:fillRect/>
                  </a:stretch>
                </pic:blipFill>
                <pic:spPr bwMode="auto">
                  <a:xfrm>
                    <a:off x="0" y="0"/>
                    <a:ext cx="675685" cy="194268"/>
                  </a:xfrm>
                  <a:prstGeom prst="rect">
                    <a:avLst/>
                  </a:prstGeom>
                </pic:spPr>
              </pic:pic>
            </a:graphicData>
          </a:graphic>
          <wp14:sizeRelH relativeFrom="page">
            <wp14:pctWidth>0</wp14:pctWidth>
          </wp14:sizeRelH>
          <wp14:sizeRelV relativeFrom="page">
            <wp14:pctHeight>0</wp14:pctHeight>
          </wp14:sizeRelV>
        </wp:anchor>
      </w:drawing>
    </w:r>
    <w:r w:rsidRPr="008F6C61">
      <w:rPr>
        <w:rFonts w:ascii="Plantagenet Cherokee" w:hAnsi="Plantagenet Cherokee"/>
        <w:color w:val="074F6A"/>
        <w:sz w:val="12"/>
        <w:szCs w:val="12"/>
        <w:lang w:val="en-US"/>
      </w:rPr>
      <w:t>Journal of Health and Rehabilitation Research (JHRR)</w:t>
    </w:r>
    <w:r w:rsidR="0074006B">
      <w:rPr>
        <w:rFonts w:ascii="Plantagenet Cherokee" w:hAnsi="Plantagenet Cherokee"/>
        <w:color w:val="074F6A"/>
        <w:sz w:val="12"/>
        <w:szCs w:val="12"/>
        <w:lang w:val="en-US"/>
      </w:rPr>
      <w:t xml:space="preserve"> | </w:t>
    </w:r>
    <w:r w:rsidR="0074006B" w:rsidRPr="0074006B">
      <w:rPr>
        <w:rFonts w:ascii="Plantagenet Cherokee" w:hAnsi="Plantagenet Cherokee"/>
        <w:color w:val="074F6A"/>
        <w:sz w:val="12"/>
        <w:szCs w:val="12"/>
        <w:lang w:val="en-US"/>
      </w:rPr>
      <w:t xml:space="preserve">Volume </w:t>
    </w:r>
    <w:r w:rsidR="001D7633">
      <w:rPr>
        <w:rFonts w:ascii="Plantagenet Cherokee" w:hAnsi="Plantagenet Cherokee"/>
        <w:color w:val="074F6A"/>
        <w:sz w:val="12"/>
        <w:szCs w:val="12"/>
        <w:lang w:val="en-US"/>
      </w:rPr>
      <w:t>6</w:t>
    </w:r>
    <w:r w:rsidR="0074006B" w:rsidRPr="0074006B">
      <w:rPr>
        <w:rFonts w:ascii="Plantagenet Cherokee" w:hAnsi="Plantagenet Cherokee"/>
        <w:color w:val="074F6A"/>
        <w:sz w:val="12"/>
        <w:szCs w:val="12"/>
        <w:lang w:val="en-US"/>
      </w:rPr>
      <w:t xml:space="preserve">, Issue </w:t>
    </w:r>
    <w:r w:rsidR="00BB3BA0">
      <w:rPr>
        <w:rFonts w:ascii="Plantagenet Cherokee" w:hAnsi="Plantagenet Cherokee"/>
        <w:color w:val="074F6A"/>
        <w:sz w:val="12"/>
        <w:szCs w:val="12"/>
        <w:lang w:val="en-US"/>
      </w:rPr>
      <w:t>3</w:t>
    </w:r>
    <w:r w:rsidR="0074006B" w:rsidRPr="0074006B">
      <w:rPr>
        <w:rFonts w:ascii="Plantagenet Cherokee" w:hAnsi="Plantagenet Cherokee"/>
        <w:color w:val="074F6A"/>
        <w:sz w:val="12"/>
        <w:szCs w:val="12"/>
        <w:lang w:val="en-US"/>
      </w:rPr>
      <w:t xml:space="preserve">, </w:t>
    </w:r>
    <w:r w:rsidR="001D7633">
      <w:rPr>
        <w:rFonts w:ascii="Plantagenet Cherokee" w:hAnsi="Plantagenet Cherokee"/>
        <w:color w:val="074F6A"/>
        <w:sz w:val="12"/>
        <w:szCs w:val="12"/>
        <w:lang w:val="en-US"/>
      </w:rPr>
      <w:t>March 2026</w:t>
    </w:r>
  </w:p>
  <w:p w:rsidR="002816A1" w:rsidRPr="008F6C61" w:rsidRDefault="0031489C" w:rsidP="008F6C61">
    <w:pPr>
      <w:pStyle w:val="NoSpacing"/>
      <w:jc w:val="right"/>
      <w:rPr>
        <w:rFonts w:ascii="Plantagenet Cherokee" w:hAnsi="Plantagenet Cherokee"/>
        <w:color w:val="074F6A"/>
        <w:sz w:val="12"/>
        <w:szCs w:val="12"/>
        <w:lang w:val="en-US"/>
      </w:rPr>
    </w:pPr>
    <w:r w:rsidRPr="008F6C61">
      <w:rPr>
        <w:rFonts w:ascii="Plantagenet Cherokee" w:hAnsi="Plantagenet Cherokee"/>
        <w:color w:val="074F6A"/>
        <w:sz w:val="12"/>
        <w:szCs w:val="12"/>
        <w:lang w:val="en-US"/>
      </w:rPr>
      <w:t>ISSN 2791-156X | ©</w:t>
    </w:r>
    <w:r w:rsidR="0074006B">
      <w:rPr>
        <w:rFonts w:ascii="Plantagenet Cherokee" w:hAnsi="Plantagenet Cherokee"/>
        <w:color w:val="074F6A"/>
        <w:sz w:val="12"/>
        <w:szCs w:val="12"/>
        <w:lang w:val="en-US"/>
      </w:rPr>
      <w:t xml:space="preserve"> </w:t>
    </w:r>
    <w:r w:rsidRPr="008F6C61">
      <w:rPr>
        <w:rFonts w:ascii="Plantagenet Cherokee" w:hAnsi="Plantagenet Cherokee"/>
        <w:color w:val="074F6A"/>
        <w:sz w:val="12"/>
        <w:szCs w:val="12"/>
        <w:lang w:val="en-US"/>
      </w:rPr>
      <w:t>The Authors | CC BY 4.0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0027" w:rsidRDefault="00AD0027" w:rsidP="005146DA">
      <w:pPr>
        <w:spacing w:after="0" w:line="240" w:lineRule="auto"/>
      </w:pPr>
      <w:r>
        <w:separator/>
      </w:r>
    </w:p>
  </w:footnote>
  <w:footnote w:type="continuationSeparator" w:id="0">
    <w:p w:rsidR="00AD0027" w:rsidRDefault="00AD0027" w:rsidP="005146D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lantagenet Cherokee" w:hAnsi="Plantagenet Cherokee" w:cstheme="majorBidi"/>
        <w:color w:val="074F6A"/>
        <w:vertAlign w:val="subscript"/>
      </w:rPr>
      <w:id w:val="1703678282"/>
      <w:docPartObj>
        <w:docPartGallery w:val="Page Numbers (Top of Page)"/>
        <w:docPartUnique/>
      </w:docPartObj>
    </w:sdtPr>
    <w:sdtEndPr>
      <w:rPr>
        <w:rStyle w:val="BodyChar"/>
        <w:sz w:val="20"/>
        <w:szCs w:val="18"/>
      </w:rPr>
    </w:sdtEndPr>
    <w:sdtContent>
      <w:p w:rsidR="0031489C" w:rsidRPr="008F6C61" w:rsidRDefault="0031489C" w:rsidP="0031489C">
        <w:pPr>
          <w:pStyle w:val="Header"/>
          <w:pBdr>
            <w:bottom w:val="single" w:sz="4" w:space="1" w:color="D9D9D9" w:themeColor="background1" w:themeShade="D9"/>
          </w:pBdr>
          <w:jc w:val="center"/>
          <w:rPr>
            <w:rStyle w:val="BodyChar"/>
            <w:rFonts w:cstheme="majorBidi"/>
            <w:color w:val="074F6A"/>
            <w:sz w:val="18"/>
            <w:vertAlign w:val="subscript"/>
          </w:rPr>
        </w:pPr>
        <w:r w:rsidRPr="008F6C61">
          <w:rPr>
            <w:rFonts w:ascii="Plantagenet Cherokee" w:hAnsi="Plantagenet Cherokee" w:cstheme="majorBidi"/>
            <w:color w:val="074F6A"/>
            <w:vertAlign w:val="subscript"/>
          </w:rPr>
          <w:t>J</w:t>
        </w:r>
        <w:r w:rsidRPr="008F6C61">
          <w:rPr>
            <w:rStyle w:val="BodyChar"/>
            <w:rFonts w:cstheme="majorBidi"/>
            <w:color w:val="074F6A"/>
            <w:sz w:val="18"/>
            <w:vertAlign w:val="subscript"/>
          </w:rPr>
          <w:t>HRR-</w:t>
        </w:r>
        <w:r w:rsidR="007D28BB">
          <w:rPr>
            <w:rStyle w:val="BodyChar"/>
            <w:rFonts w:cstheme="majorBidi"/>
            <w:color w:val="074F6A"/>
            <w:sz w:val="18"/>
            <w:vertAlign w:val="subscript"/>
          </w:rPr>
          <w:t>1997</w:t>
        </w:r>
        <w:r w:rsidRPr="008F6C61">
          <w:rPr>
            <w:rStyle w:val="BodyChar"/>
            <w:rFonts w:cstheme="majorBidi"/>
            <w:color w:val="074F6A"/>
            <w:sz w:val="18"/>
            <w:vertAlign w:val="subscript"/>
          </w:rPr>
          <w:t xml:space="preserve"> | </w:t>
        </w:r>
        <w:r w:rsidR="001D7633">
          <w:rPr>
            <w:rStyle w:val="BodyChar"/>
            <w:rFonts w:cstheme="majorBidi"/>
            <w:color w:val="074F6A"/>
            <w:sz w:val="18"/>
            <w:vertAlign w:val="subscript"/>
          </w:rPr>
          <w:t>2026</w:t>
        </w:r>
        <w:proofErr w:type="gramStart"/>
        <w:r w:rsidRPr="008F6C61">
          <w:rPr>
            <w:rStyle w:val="BodyChar"/>
            <w:rFonts w:cstheme="majorBidi"/>
            <w:color w:val="074F6A"/>
            <w:sz w:val="18"/>
            <w:vertAlign w:val="subscript"/>
          </w:rPr>
          <w:t>;</w:t>
        </w:r>
        <w:r w:rsidR="001D7633">
          <w:rPr>
            <w:rStyle w:val="BodyChar"/>
            <w:rFonts w:cstheme="majorBidi"/>
            <w:color w:val="074F6A"/>
            <w:sz w:val="18"/>
            <w:vertAlign w:val="subscript"/>
          </w:rPr>
          <w:t>6</w:t>
        </w:r>
        <w:proofErr w:type="gramEnd"/>
        <w:r w:rsidRPr="008F6C61">
          <w:rPr>
            <w:rStyle w:val="BodyChar"/>
            <w:rFonts w:cstheme="majorBidi"/>
            <w:color w:val="074F6A"/>
            <w:sz w:val="18"/>
            <w:vertAlign w:val="subscript"/>
          </w:rPr>
          <w:t>(</w:t>
        </w:r>
        <w:r w:rsidR="00BB3BA0">
          <w:rPr>
            <w:rStyle w:val="BodyChar"/>
            <w:rFonts w:cstheme="majorBidi"/>
            <w:color w:val="074F6A"/>
            <w:sz w:val="18"/>
            <w:vertAlign w:val="subscript"/>
          </w:rPr>
          <w:t>3</w:t>
        </w:r>
        <w:r w:rsidRPr="008F6C61">
          <w:rPr>
            <w:rStyle w:val="BodyChar"/>
            <w:rFonts w:cstheme="majorBidi"/>
            <w:color w:val="074F6A"/>
            <w:sz w:val="18"/>
            <w:vertAlign w:val="subscript"/>
          </w:rPr>
          <w:t xml:space="preserve">) | ISSN 2791-156X | © </w:t>
        </w:r>
        <w:r w:rsidR="001D7633">
          <w:rPr>
            <w:rStyle w:val="BodyChar"/>
            <w:rFonts w:cstheme="majorBidi"/>
            <w:color w:val="074F6A"/>
            <w:sz w:val="18"/>
            <w:vertAlign w:val="subscript"/>
          </w:rPr>
          <w:t xml:space="preserve">2026 </w:t>
        </w:r>
        <w:r w:rsidRPr="008F6C61">
          <w:rPr>
            <w:rStyle w:val="BodyChar"/>
            <w:rFonts w:cstheme="majorBidi"/>
            <w:color w:val="074F6A"/>
            <w:sz w:val="18"/>
            <w:vertAlign w:val="subscript"/>
          </w:rPr>
          <w:t xml:space="preserve">The Authors | CC BY 4.0 | Page </w:t>
        </w:r>
        <w:r w:rsidRPr="008F6C61">
          <w:rPr>
            <w:rStyle w:val="BodyChar"/>
            <w:rFonts w:cstheme="majorBidi"/>
            <w:color w:val="074F6A"/>
            <w:sz w:val="18"/>
            <w:vertAlign w:val="subscript"/>
          </w:rPr>
          <w:fldChar w:fldCharType="begin"/>
        </w:r>
        <w:r w:rsidRPr="008F6C61">
          <w:rPr>
            <w:rStyle w:val="BodyChar"/>
            <w:rFonts w:cstheme="majorBidi"/>
            <w:color w:val="074F6A"/>
            <w:sz w:val="18"/>
            <w:vertAlign w:val="subscript"/>
          </w:rPr>
          <w:instrText xml:space="preserve"> PAGE   \* MERGEFORMAT </w:instrText>
        </w:r>
        <w:r w:rsidRPr="008F6C61">
          <w:rPr>
            <w:rStyle w:val="BodyChar"/>
            <w:rFonts w:cstheme="majorBidi"/>
            <w:color w:val="074F6A"/>
            <w:sz w:val="18"/>
            <w:vertAlign w:val="subscript"/>
          </w:rPr>
          <w:fldChar w:fldCharType="separate"/>
        </w:r>
        <w:r w:rsidR="00E11452" w:rsidRPr="00E11452">
          <w:rPr>
            <w:rStyle w:val="BodyChar"/>
            <w:rFonts w:cstheme="majorBidi"/>
            <w:noProof/>
            <w:color w:val="074F6A"/>
            <w:vertAlign w:val="subscript"/>
          </w:rPr>
          <w:t>9</w:t>
        </w:r>
        <w:r w:rsidRPr="008F6C61">
          <w:rPr>
            <w:rStyle w:val="BodyChar"/>
            <w:rFonts w:cstheme="majorBidi"/>
            <w:color w:val="074F6A"/>
            <w:sz w:val="18"/>
            <w:vertAlign w:val="subscript"/>
          </w:rP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1E9B" w:rsidRDefault="0074006B" w:rsidP="0074006B">
    <w:pPr>
      <w:pStyle w:val="NoSpacing"/>
      <w:tabs>
        <w:tab w:val="left" w:pos="220"/>
      </w:tabs>
      <w:rPr>
        <w:rFonts w:ascii="Plantagenet Cherokee" w:hAnsi="Plantagenet Cherokee"/>
      </w:rPr>
    </w:pPr>
    <w:r w:rsidRPr="00FB11F4">
      <w:rPr>
        <w:rFonts w:ascii="Plantagenet Cherokee" w:hAnsi="Plantagenet Cherokee"/>
        <w:noProof/>
        <w:sz w:val="14"/>
        <w:szCs w:val="14"/>
        <w:lang w:val="en-US"/>
      </w:rPr>
      <w:drawing>
        <wp:inline distT="0" distB="0" distL="0" distR="0" wp14:anchorId="5B611DF3" wp14:editId="22964501">
          <wp:extent cx="1024890" cy="196215"/>
          <wp:effectExtent l="0" t="0" r="3810" b="0"/>
          <wp:docPr id="2066777760" name="Graphic 1" descr="Journal of Health and Rehabilitation Research (JHRR)&#10;ISSN (Electronic): 2791-156X Publisher: Link Medical Interface (Private) Limited Publication Frequency: Monthly&#10;&#10;">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6777760" name="Graphic 1" descr="Journal of Health and Rehabilitation Research (JHRR)&#10;ISSN (Electronic): 2791-156X Publisher: Link Medical Interface (Private) Limited Publication Frequency: Monthly&#10;&#10;">
                    <a:hlinkClick r:id="rId1"/>
                  </pic:cNvPr>
                  <pic:cNvPicPr/>
                </pic:nvPicPr>
                <pic:blipFill rotWithShape="1">
                  <a:blip r:embed="rId2">
                    <a:extLst>
                      <a:ext uri="{96DAC541-7B7A-43D3-8B79-37D633B846F1}">
                        <asvg:svgBlip xmlns:asvg="http://schemas.microsoft.com/office/drawing/2016/SVG/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3"/>
                      </a:ext>
                    </a:extLst>
                  </a:blip>
                  <a:srcRect t="24584" r="6553" b="27951"/>
                  <a:stretch>
                    <a:fillRect/>
                  </a:stretch>
                </pic:blipFill>
                <pic:spPr bwMode="auto">
                  <a:xfrm>
                    <a:off x="0" y="0"/>
                    <a:ext cx="1024890" cy="196215"/>
                  </a:xfrm>
                  <a:prstGeom prst="rect">
                    <a:avLst/>
                  </a:prstGeom>
                  <a:ln>
                    <a:noFill/>
                  </a:ln>
                  <a:extLst>
                    <a:ext uri="{53640926-AAD7-44D8-BBD7-CCE9431645EC}">
                      <a14:shadowObscured xmlns:a14="http://schemas.microsoft.com/office/drawing/2010/main"/>
                    </a:ext>
                  </a:extLst>
                </pic:spPr>
              </pic:pic>
            </a:graphicData>
          </a:graphic>
        </wp:inline>
      </w:drawing>
    </w:r>
    <w:r w:rsidR="00861E9B">
      <w:rPr>
        <w:rFonts w:ascii="Plantagenet Cherokee" w:hAnsi="Plantagenet Cherokee"/>
      </w:rPr>
      <w:tab/>
    </w:r>
  </w:p>
  <w:p w:rsidR="00861E9B" w:rsidRPr="0074006B" w:rsidRDefault="00861E9B" w:rsidP="0074006B">
    <w:pPr>
      <w:pStyle w:val="NoSpacing"/>
      <w:tabs>
        <w:tab w:val="left" w:pos="220"/>
      </w:tabs>
      <w:jc w:val="right"/>
      <w:rPr>
        <w:rFonts w:ascii="Plantagenet Cherokee" w:hAnsi="Plantagenet Cherokee"/>
        <w:color w:val="0B769F" w:themeColor="accent4" w:themeShade="BF"/>
        <w:sz w:val="14"/>
        <w:szCs w:val="14"/>
      </w:rPr>
    </w:pPr>
    <w:r w:rsidRPr="0074006B">
      <w:rPr>
        <w:rFonts w:ascii="Plantagenet Cherokee" w:hAnsi="Plantagenet Cherokee"/>
        <w:color w:val="0B769F" w:themeColor="accent4" w:themeShade="BF"/>
        <w:sz w:val="14"/>
        <w:szCs w:val="14"/>
      </w:rPr>
      <w:t>https://doi.org/</w:t>
    </w:r>
    <w:r w:rsidR="00E11452" w:rsidRPr="00E11452">
      <w:rPr>
        <w:rFonts w:ascii="Plantagenet Cherokee" w:hAnsi="Plantagenet Cherokee"/>
        <w:color w:val="0B769F" w:themeColor="accent4" w:themeShade="BF"/>
        <w:sz w:val="14"/>
        <w:szCs w:val="14"/>
      </w:rPr>
      <w:t>10.61919/jhrr.v6i4.1997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C55FE6"/>
    <w:multiLevelType w:val="hybridMultilevel"/>
    <w:tmpl w:val="6AF0E97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3E31521"/>
    <w:multiLevelType w:val="multilevel"/>
    <w:tmpl w:val="6CD8F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5F17909"/>
    <w:multiLevelType w:val="multilevel"/>
    <w:tmpl w:val="30A8F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C645447"/>
    <w:multiLevelType w:val="multilevel"/>
    <w:tmpl w:val="F89ACB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24842797"/>
    <w:multiLevelType w:val="multilevel"/>
    <w:tmpl w:val="F574E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4667A1D"/>
    <w:multiLevelType w:val="multilevel"/>
    <w:tmpl w:val="D7B26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5E435F4"/>
    <w:multiLevelType w:val="hybridMultilevel"/>
    <w:tmpl w:val="15780F6C"/>
    <w:lvl w:ilvl="0" w:tplc="DEC0253E">
      <w:start w:val="1"/>
      <w:numFmt w:val="decimal"/>
      <w:lvlText w:val="%1"/>
      <w:lvlJc w:val="left"/>
      <w:pPr>
        <w:ind w:left="36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840" w:hanging="180"/>
      </w:pPr>
    </w:lvl>
    <w:lvl w:ilvl="3" w:tplc="0409000F" w:tentative="1">
      <w:start w:val="1"/>
      <w:numFmt w:val="decimal"/>
      <w:lvlText w:val="%4."/>
      <w:lvlJc w:val="left"/>
      <w:pPr>
        <w:ind w:left="-120" w:hanging="360"/>
      </w:pPr>
    </w:lvl>
    <w:lvl w:ilvl="4" w:tplc="04090019" w:tentative="1">
      <w:start w:val="1"/>
      <w:numFmt w:val="lowerLetter"/>
      <w:lvlText w:val="%5."/>
      <w:lvlJc w:val="left"/>
      <w:pPr>
        <w:ind w:left="600" w:hanging="360"/>
      </w:pPr>
    </w:lvl>
    <w:lvl w:ilvl="5" w:tplc="0409001B" w:tentative="1">
      <w:start w:val="1"/>
      <w:numFmt w:val="lowerRoman"/>
      <w:lvlText w:val="%6."/>
      <w:lvlJc w:val="right"/>
      <w:pPr>
        <w:ind w:left="1320" w:hanging="180"/>
      </w:pPr>
    </w:lvl>
    <w:lvl w:ilvl="6" w:tplc="0409000F" w:tentative="1">
      <w:start w:val="1"/>
      <w:numFmt w:val="decimal"/>
      <w:lvlText w:val="%7."/>
      <w:lvlJc w:val="left"/>
      <w:pPr>
        <w:ind w:left="2040" w:hanging="360"/>
      </w:pPr>
    </w:lvl>
    <w:lvl w:ilvl="7" w:tplc="04090019" w:tentative="1">
      <w:start w:val="1"/>
      <w:numFmt w:val="lowerLetter"/>
      <w:lvlText w:val="%8."/>
      <w:lvlJc w:val="left"/>
      <w:pPr>
        <w:ind w:left="2760" w:hanging="360"/>
      </w:pPr>
    </w:lvl>
    <w:lvl w:ilvl="8" w:tplc="0409001B" w:tentative="1">
      <w:start w:val="1"/>
      <w:numFmt w:val="lowerRoman"/>
      <w:lvlText w:val="%9."/>
      <w:lvlJc w:val="right"/>
      <w:pPr>
        <w:ind w:left="3480" w:hanging="180"/>
      </w:pPr>
    </w:lvl>
  </w:abstractNum>
  <w:abstractNum w:abstractNumId="7">
    <w:nsid w:val="44CB5351"/>
    <w:multiLevelType w:val="hybridMultilevel"/>
    <w:tmpl w:val="009A9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CE511D4"/>
    <w:multiLevelType w:val="hybridMultilevel"/>
    <w:tmpl w:val="6D5021F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600039AC"/>
    <w:multiLevelType w:val="hybridMultilevel"/>
    <w:tmpl w:val="58DEA8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6F35870"/>
    <w:multiLevelType w:val="multilevel"/>
    <w:tmpl w:val="04B608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3B555F"/>
    <w:multiLevelType w:val="hybridMultilevel"/>
    <w:tmpl w:val="D0861F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2A61268"/>
    <w:multiLevelType w:val="hybridMultilevel"/>
    <w:tmpl w:val="8A6240B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77A30711"/>
    <w:multiLevelType w:val="multilevel"/>
    <w:tmpl w:val="6D5A76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78175FCC"/>
    <w:multiLevelType w:val="hybridMultilevel"/>
    <w:tmpl w:val="C93EFE6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787F7E9B"/>
    <w:multiLevelType w:val="hybridMultilevel"/>
    <w:tmpl w:val="D7B2490A"/>
    <w:lvl w:ilvl="0" w:tplc="990E1FC0">
      <w:start w:val="1"/>
      <w:numFmt w:val="decimal"/>
      <w:pStyle w:val="References"/>
      <w:lvlText w:val="%1"/>
      <w:lvlJc w:val="left"/>
      <w:pPr>
        <w:ind w:left="360" w:hanging="360"/>
      </w:pPr>
      <w:rPr>
        <w:rFonts w:ascii="Aptos" w:hAnsi="Aptos" w:cs="Georgia" w:hint="default"/>
        <w:b w:val="0"/>
        <w:bCs w:val="0"/>
        <w:i w:val="0"/>
        <w:iCs w:val="0"/>
        <w:caps w:val="0"/>
        <w:strike w:val="0"/>
        <w:dstrike w:val="0"/>
        <w:vanish w:val="0"/>
        <w:color w:val="000000" w:themeColor="text1"/>
        <w:kern w:val="0"/>
        <w:sz w:val="20"/>
        <w:szCs w:val="20"/>
        <w:vertAlign w:val="baseline"/>
        <w14:cntxtAlts w14: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7AAC6842"/>
    <w:multiLevelType w:val="hybridMultilevel"/>
    <w:tmpl w:val="E8B2AC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7DB54CD0"/>
    <w:multiLevelType w:val="hybridMultilevel"/>
    <w:tmpl w:val="FF286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6"/>
  </w:num>
  <w:num w:numId="3">
    <w:abstractNumId w:val="7"/>
  </w:num>
  <w:num w:numId="4">
    <w:abstractNumId w:val="13"/>
  </w:num>
  <w:num w:numId="5">
    <w:abstractNumId w:val="14"/>
  </w:num>
  <w:num w:numId="6">
    <w:abstractNumId w:val="4"/>
  </w:num>
  <w:num w:numId="7">
    <w:abstractNumId w:val="16"/>
  </w:num>
  <w:num w:numId="8">
    <w:abstractNumId w:val="10"/>
  </w:num>
  <w:num w:numId="9">
    <w:abstractNumId w:val="2"/>
  </w:num>
  <w:num w:numId="10">
    <w:abstractNumId w:val="12"/>
  </w:num>
  <w:num w:numId="11">
    <w:abstractNumId w:val="3"/>
  </w:num>
  <w:num w:numId="12">
    <w:abstractNumId w:val="0"/>
  </w:num>
  <w:num w:numId="13">
    <w:abstractNumId w:val="5"/>
  </w:num>
  <w:num w:numId="14">
    <w:abstractNumId w:val="8"/>
  </w:num>
  <w:num w:numId="15">
    <w:abstractNumId w:val="17"/>
  </w:num>
  <w:num w:numId="16">
    <w:abstractNumId w:val="11"/>
  </w:num>
  <w:num w:numId="17">
    <w:abstractNumId w:val="1"/>
  </w:num>
  <w:num w:numId="18">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144"/>
  <w:drawingGridHorizontalSpacing w:val="144"/>
  <w:drawingGridVerticalSpacing w:val="144"/>
  <w:characterSpacingControl w:val="doNotCompress"/>
  <w:hdrShapeDefaults>
    <o:shapedefaults v:ext="edit" spidmax="2049">
      <o:colormru v:ext="edit" colors="#eee,#f5f5f5,#f9f9f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D37"/>
    <w:rsid w:val="000043F0"/>
    <w:rsid w:val="00004CC0"/>
    <w:rsid w:val="000061B5"/>
    <w:rsid w:val="0000693F"/>
    <w:rsid w:val="000078EA"/>
    <w:rsid w:val="000100BB"/>
    <w:rsid w:val="00012950"/>
    <w:rsid w:val="00012F54"/>
    <w:rsid w:val="000139DB"/>
    <w:rsid w:val="000148AB"/>
    <w:rsid w:val="00015BB5"/>
    <w:rsid w:val="0001648C"/>
    <w:rsid w:val="000166C1"/>
    <w:rsid w:val="00017948"/>
    <w:rsid w:val="00022307"/>
    <w:rsid w:val="000227F6"/>
    <w:rsid w:val="000247CA"/>
    <w:rsid w:val="00026CEF"/>
    <w:rsid w:val="0002734B"/>
    <w:rsid w:val="000321D9"/>
    <w:rsid w:val="0003240D"/>
    <w:rsid w:val="0003560D"/>
    <w:rsid w:val="0003581C"/>
    <w:rsid w:val="00036B89"/>
    <w:rsid w:val="00037203"/>
    <w:rsid w:val="000379B3"/>
    <w:rsid w:val="00041643"/>
    <w:rsid w:val="00041BBF"/>
    <w:rsid w:val="00041F12"/>
    <w:rsid w:val="00041F21"/>
    <w:rsid w:val="0004408C"/>
    <w:rsid w:val="00044BB6"/>
    <w:rsid w:val="00044C73"/>
    <w:rsid w:val="000461A7"/>
    <w:rsid w:val="00046C28"/>
    <w:rsid w:val="00046C7C"/>
    <w:rsid w:val="0004774C"/>
    <w:rsid w:val="00051F5C"/>
    <w:rsid w:val="000529A5"/>
    <w:rsid w:val="00053EFB"/>
    <w:rsid w:val="00055152"/>
    <w:rsid w:val="000566F8"/>
    <w:rsid w:val="00057EC7"/>
    <w:rsid w:val="00061461"/>
    <w:rsid w:val="0006178B"/>
    <w:rsid w:val="00063B00"/>
    <w:rsid w:val="0006433A"/>
    <w:rsid w:val="000645AC"/>
    <w:rsid w:val="0006672E"/>
    <w:rsid w:val="00066DE0"/>
    <w:rsid w:val="00075179"/>
    <w:rsid w:val="00077792"/>
    <w:rsid w:val="000820A1"/>
    <w:rsid w:val="00083257"/>
    <w:rsid w:val="00085E1C"/>
    <w:rsid w:val="00091AFC"/>
    <w:rsid w:val="00091F6A"/>
    <w:rsid w:val="000920D3"/>
    <w:rsid w:val="00092733"/>
    <w:rsid w:val="00092816"/>
    <w:rsid w:val="00092B1C"/>
    <w:rsid w:val="0009358D"/>
    <w:rsid w:val="00093E42"/>
    <w:rsid w:val="00094074"/>
    <w:rsid w:val="0009526A"/>
    <w:rsid w:val="00095B50"/>
    <w:rsid w:val="00096AB8"/>
    <w:rsid w:val="00097307"/>
    <w:rsid w:val="000A031C"/>
    <w:rsid w:val="000A1372"/>
    <w:rsid w:val="000A1CE1"/>
    <w:rsid w:val="000A201E"/>
    <w:rsid w:val="000A65A1"/>
    <w:rsid w:val="000A7A88"/>
    <w:rsid w:val="000B07E9"/>
    <w:rsid w:val="000B1B2C"/>
    <w:rsid w:val="000B408C"/>
    <w:rsid w:val="000B411A"/>
    <w:rsid w:val="000C202C"/>
    <w:rsid w:val="000C576E"/>
    <w:rsid w:val="000C5CF2"/>
    <w:rsid w:val="000C60BF"/>
    <w:rsid w:val="000C64C1"/>
    <w:rsid w:val="000C7E54"/>
    <w:rsid w:val="000D00DD"/>
    <w:rsid w:val="000D09FA"/>
    <w:rsid w:val="000D0FE6"/>
    <w:rsid w:val="000D32CA"/>
    <w:rsid w:val="000D3327"/>
    <w:rsid w:val="000D3952"/>
    <w:rsid w:val="000D3C08"/>
    <w:rsid w:val="000D3D22"/>
    <w:rsid w:val="000D3D71"/>
    <w:rsid w:val="000D61EE"/>
    <w:rsid w:val="000D62A3"/>
    <w:rsid w:val="000D63DB"/>
    <w:rsid w:val="000D7465"/>
    <w:rsid w:val="000E0E33"/>
    <w:rsid w:val="000E2EEF"/>
    <w:rsid w:val="000E656D"/>
    <w:rsid w:val="000F29F9"/>
    <w:rsid w:val="000F48C0"/>
    <w:rsid w:val="000F66A6"/>
    <w:rsid w:val="000F7F02"/>
    <w:rsid w:val="0010117A"/>
    <w:rsid w:val="00101454"/>
    <w:rsid w:val="00101CFD"/>
    <w:rsid w:val="00102CFA"/>
    <w:rsid w:val="00103294"/>
    <w:rsid w:val="00106239"/>
    <w:rsid w:val="001068B7"/>
    <w:rsid w:val="00107BA8"/>
    <w:rsid w:val="00110658"/>
    <w:rsid w:val="00110E72"/>
    <w:rsid w:val="001119D7"/>
    <w:rsid w:val="00112E6F"/>
    <w:rsid w:val="001131F8"/>
    <w:rsid w:val="00113B11"/>
    <w:rsid w:val="00113E50"/>
    <w:rsid w:val="0011409D"/>
    <w:rsid w:val="00114A92"/>
    <w:rsid w:val="00115B7A"/>
    <w:rsid w:val="00115EDF"/>
    <w:rsid w:val="00116404"/>
    <w:rsid w:val="00120480"/>
    <w:rsid w:val="00122FCB"/>
    <w:rsid w:val="001236CA"/>
    <w:rsid w:val="00130F18"/>
    <w:rsid w:val="001315E7"/>
    <w:rsid w:val="001322A0"/>
    <w:rsid w:val="0013322A"/>
    <w:rsid w:val="00135169"/>
    <w:rsid w:val="001374B4"/>
    <w:rsid w:val="001408A6"/>
    <w:rsid w:val="00140F5E"/>
    <w:rsid w:val="00142502"/>
    <w:rsid w:val="00142BE6"/>
    <w:rsid w:val="001475C8"/>
    <w:rsid w:val="001503AD"/>
    <w:rsid w:val="00152188"/>
    <w:rsid w:val="00152475"/>
    <w:rsid w:val="001530DB"/>
    <w:rsid w:val="00153B19"/>
    <w:rsid w:val="00155518"/>
    <w:rsid w:val="00155642"/>
    <w:rsid w:val="001561FA"/>
    <w:rsid w:val="00160234"/>
    <w:rsid w:val="0016033E"/>
    <w:rsid w:val="00160937"/>
    <w:rsid w:val="00161CCE"/>
    <w:rsid w:val="00165671"/>
    <w:rsid w:val="001677CE"/>
    <w:rsid w:val="0017042B"/>
    <w:rsid w:val="00171987"/>
    <w:rsid w:val="001759FB"/>
    <w:rsid w:val="00175A60"/>
    <w:rsid w:val="0017794D"/>
    <w:rsid w:val="001801C6"/>
    <w:rsid w:val="00180EF1"/>
    <w:rsid w:val="001835E8"/>
    <w:rsid w:val="00183633"/>
    <w:rsid w:val="00183C59"/>
    <w:rsid w:val="001842C8"/>
    <w:rsid w:val="001854B4"/>
    <w:rsid w:val="001907DF"/>
    <w:rsid w:val="00190B1E"/>
    <w:rsid w:val="00191AB1"/>
    <w:rsid w:val="00192B07"/>
    <w:rsid w:val="001934BD"/>
    <w:rsid w:val="00195166"/>
    <w:rsid w:val="001958E7"/>
    <w:rsid w:val="00195B04"/>
    <w:rsid w:val="00197895"/>
    <w:rsid w:val="001A1BC5"/>
    <w:rsid w:val="001A2B9E"/>
    <w:rsid w:val="001A35E8"/>
    <w:rsid w:val="001A4451"/>
    <w:rsid w:val="001A48AE"/>
    <w:rsid w:val="001A5A24"/>
    <w:rsid w:val="001A5C6F"/>
    <w:rsid w:val="001A662D"/>
    <w:rsid w:val="001A713C"/>
    <w:rsid w:val="001B1308"/>
    <w:rsid w:val="001B47E3"/>
    <w:rsid w:val="001B536B"/>
    <w:rsid w:val="001C0ABC"/>
    <w:rsid w:val="001C1962"/>
    <w:rsid w:val="001C2CD4"/>
    <w:rsid w:val="001C2E01"/>
    <w:rsid w:val="001C4806"/>
    <w:rsid w:val="001C5878"/>
    <w:rsid w:val="001C749C"/>
    <w:rsid w:val="001C7626"/>
    <w:rsid w:val="001C7FCC"/>
    <w:rsid w:val="001D08CB"/>
    <w:rsid w:val="001D0CAC"/>
    <w:rsid w:val="001D12F0"/>
    <w:rsid w:val="001D175C"/>
    <w:rsid w:val="001D1E7D"/>
    <w:rsid w:val="001D2E75"/>
    <w:rsid w:val="001D406B"/>
    <w:rsid w:val="001D4DA3"/>
    <w:rsid w:val="001D5C62"/>
    <w:rsid w:val="001D7633"/>
    <w:rsid w:val="001D7E59"/>
    <w:rsid w:val="001E1318"/>
    <w:rsid w:val="001E794B"/>
    <w:rsid w:val="001F044C"/>
    <w:rsid w:val="001F1BDB"/>
    <w:rsid w:val="001F1EC5"/>
    <w:rsid w:val="001F4423"/>
    <w:rsid w:val="001F59D2"/>
    <w:rsid w:val="001F5F30"/>
    <w:rsid w:val="001F7403"/>
    <w:rsid w:val="00201146"/>
    <w:rsid w:val="00202799"/>
    <w:rsid w:val="002033FB"/>
    <w:rsid w:val="002038D4"/>
    <w:rsid w:val="0020529B"/>
    <w:rsid w:val="00206FD7"/>
    <w:rsid w:val="00211CB2"/>
    <w:rsid w:val="00212B7E"/>
    <w:rsid w:val="00212FAD"/>
    <w:rsid w:val="00213A2A"/>
    <w:rsid w:val="0022313E"/>
    <w:rsid w:val="0022392C"/>
    <w:rsid w:val="002249DB"/>
    <w:rsid w:val="00227BED"/>
    <w:rsid w:val="002313BC"/>
    <w:rsid w:val="00231F85"/>
    <w:rsid w:val="0023234A"/>
    <w:rsid w:val="00234923"/>
    <w:rsid w:val="00236369"/>
    <w:rsid w:val="00237C3E"/>
    <w:rsid w:val="00240ACD"/>
    <w:rsid w:val="002411BB"/>
    <w:rsid w:val="002411EA"/>
    <w:rsid w:val="00242689"/>
    <w:rsid w:val="00244591"/>
    <w:rsid w:val="00246D74"/>
    <w:rsid w:val="00247F76"/>
    <w:rsid w:val="00250B28"/>
    <w:rsid w:val="00251A85"/>
    <w:rsid w:val="0025388D"/>
    <w:rsid w:val="00256D38"/>
    <w:rsid w:val="00261E5E"/>
    <w:rsid w:val="002645A1"/>
    <w:rsid w:val="00265A16"/>
    <w:rsid w:val="00266C23"/>
    <w:rsid w:val="00266EA3"/>
    <w:rsid w:val="00267569"/>
    <w:rsid w:val="00270061"/>
    <w:rsid w:val="00271C1E"/>
    <w:rsid w:val="00275274"/>
    <w:rsid w:val="00277397"/>
    <w:rsid w:val="00277756"/>
    <w:rsid w:val="002802F9"/>
    <w:rsid w:val="002816A1"/>
    <w:rsid w:val="00281D2E"/>
    <w:rsid w:val="00285461"/>
    <w:rsid w:val="0029007D"/>
    <w:rsid w:val="00291322"/>
    <w:rsid w:val="00291B86"/>
    <w:rsid w:val="00292106"/>
    <w:rsid w:val="00293152"/>
    <w:rsid w:val="00293D9C"/>
    <w:rsid w:val="002A1111"/>
    <w:rsid w:val="002A1FE3"/>
    <w:rsid w:val="002A386B"/>
    <w:rsid w:val="002A3B8E"/>
    <w:rsid w:val="002B12F8"/>
    <w:rsid w:val="002B17C5"/>
    <w:rsid w:val="002B21E4"/>
    <w:rsid w:val="002B32B9"/>
    <w:rsid w:val="002B444C"/>
    <w:rsid w:val="002B464D"/>
    <w:rsid w:val="002B4D0B"/>
    <w:rsid w:val="002C35DA"/>
    <w:rsid w:val="002C3902"/>
    <w:rsid w:val="002C3C36"/>
    <w:rsid w:val="002C72A5"/>
    <w:rsid w:val="002D1821"/>
    <w:rsid w:val="002D1E63"/>
    <w:rsid w:val="002D205F"/>
    <w:rsid w:val="002D2DF2"/>
    <w:rsid w:val="002D5782"/>
    <w:rsid w:val="002D5DB5"/>
    <w:rsid w:val="002D6FC1"/>
    <w:rsid w:val="002E151A"/>
    <w:rsid w:val="002E1DC4"/>
    <w:rsid w:val="002E1FF7"/>
    <w:rsid w:val="002E3349"/>
    <w:rsid w:val="002E3C00"/>
    <w:rsid w:val="002E74FE"/>
    <w:rsid w:val="002E7ED9"/>
    <w:rsid w:val="002F1CD9"/>
    <w:rsid w:val="002F2F9B"/>
    <w:rsid w:val="002F46AB"/>
    <w:rsid w:val="00301F8E"/>
    <w:rsid w:val="00304212"/>
    <w:rsid w:val="00304A06"/>
    <w:rsid w:val="00304AC7"/>
    <w:rsid w:val="003068E1"/>
    <w:rsid w:val="00307FDF"/>
    <w:rsid w:val="0031067C"/>
    <w:rsid w:val="0031489C"/>
    <w:rsid w:val="00314FBF"/>
    <w:rsid w:val="00317469"/>
    <w:rsid w:val="003176A3"/>
    <w:rsid w:val="00317C19"/>
    <w:rsid w:val="0032044C"/>
    <w:rsid w:val="00320DBD"/>
    <w:rsid w:val="00322584"/>
    <w:rsid w:val="00322829"/>
    <w:rsid w:val="00322915"/>
    <w:rsid w:val="0032553C"/>
    <w:rsid w:val="00325BC4"/>
    <w:rsid w:val="0032610F"/>
    <w:rsid w:val="00327C8C"/>
    <w:rsid w:val="00330E69"/>
    <w:rsid w:val="003323F7"/>
    <w:rsid w:val="0033354D"/>
    <w:rsid w:val="00334B4D"/>
    <w:rsid w:val="00335DDB"/>
    <w:rsid w:val="0033686D"/>
    <w:rsid w:val="00341065"/>
    <w:rsid w:val="003414CF"/>
    <w:rsid w:val="00344766"/>
    <w:rsid w:val="0034599F"/>
    <w:rsid w:val="00354733"/>
    <w:rsid w:val="003558D8"/>
    <w:rsid w:val="00355D58"/>
    <w:rsid w:val="003562FE"/>
    <w:rsid w:val="00356445"/>
    <w:rsid w:val="0036033B"/>
    <w:rsid w:val="00362A01"/>
    <w:rsid w:val="00365502"/>
    <w:rsid w:val="00366B00"/>
    <w:rsid w:val="003675B2"/>
    <w:rsid w:val="003719D0"/>
    <w:rsid w:val="00371F8D"/>
    <w:rsid w:val="00372011"/>
    <w:rsid w:val="0037286E"/>
    <w:rsid w:val="00373914"/>
    <w:rsid w:val="00374162"/>
    <w:rsid w:val="00382954"/>
    <w:rsid w:val="00382A00"/>
    <w:rsid w:val="00382BD4"/>
    <w:rsid w:val="00382FDD"/>
    <w:rsid w:val="00384503"/>
    <w:rsid w:val="00386C27"/>
    <w:rsid w:val="003879AF"/>
    <w:rsid w:val="00390462"/>
    <w:rsid w:val="00391441"/>
    <w:rsid w:val="00393576"/>
    <w:rsid w:val="00393E8E"/>
    <w:rsid w:val="00396AD3"/>
    <w:rsid w:val="00397890"/>
    <w:rsid w:val="00397EAC"/>
    <w:rsid w:val="003A1C9F"/>
    <w:rsid w:val="003A21E3"/>
    <w:rsid w:val="003A33C8"/>
    <w:rsid w:val="003A42FC"/>
    <w:rsid w:val="003A48A8"/>
    <w:rsid w:val="003A49E8"/>
    <w:rsid w:val="003A5112"/>
    <w:rsid w:val="003A6F94"/>
    <w:rsid w:val="003A70C5"/>
    <w:rsid w:val="003B07FC"/>
    <w:rsid w:val="003B1191"/>
    <w:rsid w:val="003B2272"/>
    <w:rsid w:val="003B3BE0"/>
    <w:rsid w:val="003B4944"/>
    <w:rsid w:val="003C408A"/>
    <w:rsid w:val="003C5346"/>
    <w:rsid w:val="003C5B39"/>
    <w:rsid w:val="003C5DCF"/>
    <w:rsid w:val="003C612A"/>
    <w:rsid w:val="003C6A2E"/>
    <w:rsid w:val="003C74AB"/>
    <w:rsid w:val="003D01E3"/>
    <w:rsid w:val="003D0CD2"/>
    <w:rsid w:val="003D1429"/>
    <w:rsid w:val="003D16D1"/>
    <w:rsid w:val="003D2729"/>
    <w:rsid w:val="003D287D"/>
    <w:rsid w:val="003D5E8B"/>
    <w:rsid w:val="003E0447"/>
    <w:rsid w:val="003E2CD6"/>
    <w:rsid w:val="003E38FB"/>
    <w:rsid w:val="003E3958"/>
    <w:rsid w:val="003E73E1"/>
    <w:rsid w:val="003E7B34"/>
    <w:rsid w:val="003F003B"/>
    <w:rsid w:val="003F04CB"/>
    <w:rsid w:val="003F074D"/>
    <w:rsid w:val="003F48CC"/>
    <w:rsid w:val="003F63DA"/>
    <w:rsid w:val="003F65CC"/>
    <w:rsid w:val="004002AE"/>
    <w:rsid w:val="00401159"/>
    <w:rsid w:val="00401A9B"/>
    <w:rsid w:val="0040253B"/>
    <w:rsid w:val="00402936"/>
    <w:rsid w:val="004034EE"/>
    <w:rsid w:val="00404D42"/>
    <w:rsid w:val="00405E0E"/>
    <w:rsid w:val="00406EC5"/>
    <w:rsid w:val="00407D81"/>
    <w:rsid w:val="00410CF0"/>
    <w:rsid w:val="004114B7"/>
    <w:rsid w:val="00414031"/>
    <w:rsid w:val="004142E9"/>
    <w:rsid w:val="004143EA"/>
    <w:rsid w:val="004149BE"/>
    <w:rsid w:val="00415859"/>
    <w:rsid w:val="00416B96"/>
    <w:rsid w:val="004175AC"/>
    <w:rsid w:val="00421657"/>
    <w:rsid w:val="0042170E"/>
    <w:rsid w:val="00423300"/>
    <w:rsid w:val="004301DA"/>
    <w:rsid w:val="00430DA3"/>
    <w:rsid w:val="00431879"/>
    <w:rsid w:val="00431DBE"/>
    <w:rsid w:val="00432173"/>
    <w:rsid w:val="00435EEF"/>
    <w:rsid w:val="0044140E"/>
    <w:rsid w:val="00441E67"/>
    <w:rsid w:val="0044217C"/>
    <w:rsid w:val="004449F4"/>
    <w:rsid w:val="00444C14"/>
    <w:rsid w:val="004461B8"/>
    <w:rsid w:val="004508C2"/>
    <w:rsid w:val="00450EE7"/>
    <w:rsid w:val="00452AE6"/>
    <w:rsid w:val="00453603"/>
    <w:rsid w:val="00453CF1"/>
    <w:rsid w:val="004566F3"/>
    <w:rsid w:val="00456D11"/>
    <w:rsid w:val="00461271"/>
    <w:rsid w:val="00462CF6"/>
    <w:rsid w:val="00463000"/>
    <w:rsid w:val="00465FA3"/>
    <w:rsid w:val="00470DE6"/>
    <w:rsid w:val="00471014"/>
    <w:rsid w:val="00475CCE"/>
    <w:rsid w:val="00475E64"/>
    <w:rsid w:val="004774AF"/>
    <w:rsid w:val="0048025B"/>
    <w:rsid w:val="00482000"/>
    <w:rsid w:val="004823B4"/>
    <w:rsid w:val="004829FF"/>
    <w:rsid w:val="00485879"/>
    <w:rsid w:val="00487062"/>
    <w:rsid w:val="004874D6"/>
    <w:rsid w:val="004878D6"/>
    <w:rsid w:val="00487FA1"/>
    <w:rsid w:val="004926D8"/>
    <w:rsid w:val="00494FED"/>
    <w:rsid w:val="0049556B"/>
    <w:rsid w:val="00496C23"/>
    <w:rsid w:val="004A0FB7"/>
    <w:rsid w:val="004A16F2"/>
    <w:rsid w:val="004A2795"/>
    <w:rsid w:val="004A4106"/>
    <w:rsid w:val="004A52FC"/>
    <w:rsid w:val="004B0026"/>
    <w:rsid w:val="004B4252"/>
    <w:rsid w:val="004B4D27"/>
    <w:rsid w:val="004B4E48"/>
    <w:rsid w:val="004B63B9"/>
    <w:rsid w:val="004C035B"/>
    <w:rsid w:val="004C3AB1"/>
    <w:rsid w:val="004C3F80"/>
    <w:rsid w:val="004C55AC"/>
    <w:rsid w:val="004C5971"/>
    <w:rsid w:val="004D09D0"/>
    <w:rsid w:val="004D2367"/>
    <w:rsid w:val="004D2547"/>
    <w:rsid w:val="004D26E8"/>
    <w:rsid w:val="004D2849"/>
    <w:rsid w:val="004D396B"/>
    <w:rsid w:val="004D44BE"/>
    <w:rsid w:val="004E143F"/>
    <w:rsid w:val="004E1B5A"/>
    <w:rsid w:val="004E333C"/>
    <w:rsid w:val="004E39C6"/>
    <w:rsid w:val="004E47BC"/>
    <w:rsid w:val="004E50C2"/>
    <w:rsid w:val="004F06B4"/>
    <w:rsid w:val="004F2315"/>
    <w:rsid w:val="004F66DD"/>
    <w:rsid w:val="00500F83"/>
    <w:rsid w:val="00503F3F"/>
    <w:rsid w:val="005054C1"/>
    <w:rsid w:val="0050730D"/>
    <w:rsid w:val="00507A70"/>
    <w:rsid w:val="00507F67"/>
    <w:rsid w:val="005146DA"/>
    <w:rsid w:val="005152EA"/>
    <w:rsid w:val="00515A9D"/>
    <w:rsid w:val="0051611C"/>
    <w:rsid w:val="00523EC9"/>
    <w:rsid w:val="00526503"/>
    <w:rsid w:val="00526A45"/>
    <w:rsid w:val="0052773C"/>
    <w:rsid w:val="00527766"/>
    <w:rsid w:val="0053019A"/>
    <w:rsid w:val="00530EAD"/>
    <w:rsid w:val="005344F2"/>
    <w:rsid w:val="005347B9"/>
    <w:rsid w:val="00535227"/>
    <w:rsid w:val="005353A2"/>
    <w:rsid w:val="00535623"/>
    <w:rsid w:val="005361A5"/>
    <w:rsid w:val="00537031"/>
    <w:rsid w:val="00537706"/>
    <w:rsid w:val="0054005E"/>
    <w:rsid w:val="00540348"/>
    <w:rsid w:val="00540F72"/>
    <w:rsid w:val="005413F8"/>
    <w:rsid w:val="005422BF"/>
    <w:rsid w:val="00542486"/>
    <w:rsid w:val="00543AE5"/>
    <w:rsid w:val="00543DF5"/>
    <w:rsid w:val="00546976"/>
    <w:rsid w:val="00550912"/>
    <w:rsid w:val="00552DC7"/>
    <w:rsid w:val="00555BA3"/>
    <w:rsid w:val="00555D52"/>
    <w:rsid w:val="00556932"/>
    <w:rsid w:val="00557181"/>
    <w:rsid w:val="00561CD4"/>
    <w:rsid w:val="005622C6"/>
    <w:rsid w:val="00562EF7"/>
    <w:rsid w:val="00563824"/>
    <w:rsid w:val="005646BC"/>
    <w:rsid w:val="005646D9"/>
    <w:rsid w:val="005657AC"/>
    <w:rsid w:val="00565D37"/>
    <w:rsid w:val="0056769A"/>
    <w:rsid w:val="00567A30"/>
    <w:rsid w:val="005709F7"/>
    <w:rsid w:val="00571694"/>
    <w:rsid w:val="00572F51"/>
    <w:rsid w:val="0057358B"/>
    <w:rsid w:val="005736ED"/>
    <w:rsid w:val="005742BE"/>
    <w:rsid w:val="0057481D"/>
    <w:rsid w:val="005802BF"/>
    <w:rsid w:val="00580307"/>
    <w:rsid w:val="005819F8"/>
    <w:rsid w:val="005825B1"/>
    <w:rsid w:val="00583AC1"/>
    <w:rsid w:val="005901F3"/>
    <w:rsid w:val="00595AF5"/>
    <w:rsid w:val="00596A46"/>
    <w:rsid w:val="00596D29"/>
    <w:rsid w:val="005976DA"/>
    <w:rsid w:val="005A10C2"/>
    <w:rsid w:val="005A36DF"/>
    <w:rsid w:val="005A390F"/>
    <w:rsid w:val="005A48E1"/>
    <w:rsid w:val="005A7571"/>
    <w:rsid w:val="005B04A7"/>
    <w:rsid w:val="005B2619"/>
    <w:rsid w:val="005B29F7"/>
    <w:rsid w:val="005B40F1"/>
    <w:rsid w:val="005B6997"/>
    <w:rsid w:val="005C1303"/>
    <w:rsid w:val="005C2798"/>
    <w:rsid w:val="005C484D"/>
    <w:rsid w:val="005C4997"/>
    <w:rsid w:val="005C4F64"/>
    <w:rsid w:val="005C6C85"/>
    <w:rsid w:val="005C7DB8"/>
    <w:rsid w:val="005D0793"/>
    <w:rsid w:val="005D0F3B"/>
    <w:rsid w:val="005D1882"/>
    <w:rsid w:val="005D3E6D"/>
    <w:rsid w:val="005D45CC"/>
    <w:rsid w:val="005D582D"/>
    <w:rsid w:val="005D6D1D"/>
    <w:rsid w:val="005E0A78"/>
    <w:rsid w:val="005E188B"/>
    <w:rsid w:val="005E2971"/>
    <w:rsid w:val="005E3718"/>
    <w:rsid w:val="005E39D8"/>
    <w:rsid w:val="005E5A1D"/>
    <w:rsid w:val="005E5B34"/>
    <w:rsid w:val="005E6772"/>
    <w:rsid w:val="005E6F8B"/>
    <w:rsid w:val="005E79EB"/>
    <w:rsid w:val="005F063D"/>
    <w:rsid w:val="005F06DC"/>
    <w:rsid w:val="005F0C83"/>
    <w:rsid w:val="005F0E33"/>
    <w:rsid w:val="005F2807"/>
    <w:rsid w:val="005F2A1F"/>
    <w:rsid w:val="005F4BD7"/>
    <w:rsid w:val="005F532A"/>
    <w:rsid w:val="005F5471"/>
    <w:rsid w:val="005F6530"/>
    <w:rsid w:val="00600E13"/>
    <w:rsid w:val="0060186E"/>
    <w:rsid w:val="00603012"/>
    <w:rsid w:val="0060378E"/>
    <w:rsid w:val="00606834"/>
    <w:rsid w:val="00606CD0"/>
    <w:rsid w:val="006076EE"/>
    <w:rsid w:val="00607EA1"/>
    <w:rsid w:val="00610993"/>
    <w:rsid w:val="00611C33"/>
    <w:rsid w:val="00612AF1"/>
    <w:rsid w:val="0061397F"/>
    <w:rsid w:val="006147D0"/>
    <w:rsid w:val="00616116"/>
    <w:rsid w:val="00617C0F"/>
    <w:rsid w:val="00617C1B"/>
    <w:rsid w:val="00617DA6"/>
    <w:rsid w:val="006207B6"/>
    <w:rsid w:val="00620977"/>
    <w:rsid w:val="00620FC6"/>
    <w:rsid w:val="006245EE"/>
    <w:rsid w:val="00624882"/>
    <w:rsid w:val="00624BA3"/>
    <w:rsid w:val="0062573C"/>
    <w:rsid w:val="00625F9B"/>
    <w:rsid w:val="00626980"/>
    <w:rsid w:val="00627DFD"/>
    <w:rsid w:val="006314BE"/>
    <w:rsid w:val="006358C8"/>
    <w:rsid w:val="00635C3F"/>
    <w:rsid w:val="00642198"/>
    <w:rsid w:val="00643242"/>
    <w:rsid w:val="00643C5E"/>
    <w:rsid w:val="006461E1"/>
    <w:rsid w:val="00647434"/>
    <w:rsid w:val="006478B1"/>
    <w:rsid w:val="00647DF0"/>
    <w:rsid w:val="006507C7"/>
    <w:rsid w:val="00650CAE"/>
    <w:rsid w:val="00651954"/>
    <w:rsid w:val="0065271D"/>
    <w:rsid w:val="00653DD8"/>
    <w:rsid w:val="00653FCE"/>
    <w:rsid w:val="006574AD"/>
    <w:rsid w:val="006605F2"/>
    <w:rsid w:val="00660DF9"/>
    <w:rsid w:val="006620B3"/>
    <w:rsid w:val="006621CA"/>
    <w:rsid w:val="006622F8"/>
    <w:rsid w:val="0066417A"/>
    <w:rsid w:val="00666D64"/>
    <w:rsid w:val="0067099B"/>
    <w:rsid w:val="00670B42"/>
    <w:rsid w:val="006734FC"/>
    <w:rsid w:val="00673574"/>
    <w:rsid w:val="006735A6"/>
    <w:rsid w:val="00673E4B"/>
    <w:rsid w:val="00673E6B"/>
    <w:rsid w:val="006758E3"/>
    <w:rsid w:val="0068110D"/>
    <w:rsid w:val="006812D5"/>
    <w:rsid w:val="00681ED2"/>
    <w:rsid w:val="00682D38"/>
    <w:rsid w:val="00687BEA"/>
    <w:rsid w:val="006916B0"/>
    <w:rsid w:val="0069217D"/>
    <w:rsid w:val="006931B4"/>
    <w:rsid w:val="006967D0"/>
    <w:rsid w:val="00697728"/>
    <w:rsid w:val="00697800"/>
    <w:rsid w:val="006A1492"/>
    <w:rsid w:val="006A5380"/>
    <w:rsid w:val="006A5AD2"/>
    <w:rsid w:val="006B2043"/>
    <w:rsid w:val="006B4D59"/>
    <w:rsid w:val="006B721A"/>
    <w:rsid w:val="006B733B"/>
    <w:rsid w:val="006C1A5F"/>
    <w:rsid w:val="006C1F57"/>
    <w:rsid w:val="006C3576"/>
    <w:rsid w:val="006C3863"/>
    <w:rsid w:val="006C3A91"/>
    <w:rsid w:val="006C4A48"/>
    <w:rsid w:val="006C51B6"/>
    <w:rsid w:val="006C5A0C"/>
    <w:rsid w:val="006C68A4"/>
    <w:rsid w:val="006C7090"/>
    <w:rsid w:val="006D1788"/>
    <w:rsid w:val="006D2715"/>
    <w:rsid w:val="006D2744"/>
    <w:rsid w:val="006D611A"/>
    <w:rsid w:val="006D7419"/>
    <w:rsid w:val="006D74C2"/>
    <w:rsid w:val="006D7893"/>
    <w:rsid w:val="006D7C65"/>
    <w:rsid w:val="006E12A3"/>
    <w:rsid w:val="006E32EC"/>
    <w:rsid w:val="006E448E"/>
    <w:rsid w:val="006E5206"/>
    <w:rsid w:val="006E67E6"/>
    <w:rsid w:val="006F34FF"/>
    <w:rsid w:val="006F3726"/>
    <w:rsid w:val="006F4027"/>
    <w:rsid w:val="006F60C8"/>
    <w:rsid w:val="00700189"/>
    <w:rsid w:val="00700B71"/>
    <w:rsid w:val="0070200F"/>
    <w:rsid w:val="00703C3C"/>
    <w:rsid w:val="00703FE5"/>
    <w:rsid w:val="007043E3"/>
    <w:rsid w:val="007048B3"/>
    <w:rsid w:val="00704C4F"/>
    <w:rsid w:val="0070523E"/>
    <w:rsid w:val="007053AB"/>
    <w:rsid w:val="00705585"/>
    <w:rsid w:val="00705E00"/>
    <w:rsid w:val="00706208"/>
    <w:rsid w:val="007065A7"/>
    <w:rsid w:val="00707BE0"/>
    <w:rsid w:val="00710EFF"/>
    <w:rsid w:val="0071186E"/>
    <w:rsid w:val="00714F62"/>
    <w:rsid w:val="007155D2"/>
    <w:rsid w:val="00716287"/>
    <w:rsid w:val="00716F3C"/>
    <w:rsid w:val="00720ACD"/>
    <w:rsid w:val="007240C3"/>
    <w:rsid w:val="00724A9B"/>
    <w:rsid w:val="00724D3F"/>
    <w:rsid w:val="00725206"/>
    <w:rsid w:val="0072772C"/>
    <w:rsid w:val="00730F9B"/>
    <w:rsid w:val="007312DC"/>
    <w:rsid w:val="00732771"/>
    <w:rsid w:val="00732865"/>
    <w:rsid w:val="00733C0C"/>
    <w:rsid w:val="0074006B"/>
    <w:rsid w:val="00743320"/>
    <w:rsid w:val="00745E17"/>
    <w:rsid w:val="0075062B"/>
    <w:rsid w:val="00752D81"/>
    <w:rsid w:val="007530B9"/>
    <w:rsid w:val="00754A4C"/>
    <w:rsid w:val="00755436"/>
    <w:rsid w:val="00760029"/>
    <w:rsid w:val="00761EA5"/>
    <w:rsid w:val="00764FDD"/>
    <w:rsid w:val="0076511A"/>
    <w:rsid w:val="00765F43"/>
    <w:rsid w:val="0076697E"/>
    <w:rsid w:val="00767092"/>
    <w:rsid w:val="007739E7"/>
    <w:rsid w:val="0077422C"/>
    <w:rsid w:val="00776DD9"/>
    <w:rsid w:val="007775D8"/>
    <w:rsid w:val="007775F5"/>
    <w:rsid w:val="00780151"/>
    <w:rsid w:val="007864F7"/>
    <w:rsid w:val="00786933"/>
    <w:rsid w:val="0078700D"/>
    <w:rsid w:val="00787ED0"/>
    <w:rsid w:val="00791BA1"/>
    <w:rsid w:val="007925CD"/>
    <w:rsid w:val="0079276F"/>
    <w:rsid w:val="00793F57"/>
    <w:rsid w:val="00794854"/>
    <w:rsid w:val="00794A37"/>
    <w:rsid w:val="00795B8F"/>
    <w:rsid w:val="00795F33"/>
    <w:rsid w:val="00796BAB"/>
    <w:rsid w:val="00796D03"/>
    <w:rsid w:val="00797302"/>
    <w:rsid w:val="00797F39"/>
    <w:rsid w:val="00797FEE"/>
    <w:rsid w:val="007A514E"/>
    <w:rsid w:val="007A58EF"/>
    <w:rsid w:val="007A619B"/>
    <w:rsid w:val="007B008E"/>
    <w:rsid w:val="007B0C79"/>
    <w:rsid w:val="007B1190"/>
    <w:rsid w:val="007B1D07"/>
    <w:rsid w:val="007B1FFC"/>
    <w:rsid w:val="007B2839"/>
    <w:rsid w:val="007B2CBC"/>
    <w:rsid w:val="007B443F"/>
    <w:rsid w:val="007B52AC"/>
    <w:rsid w:val="007B5F49"/>
    <w:rsid w:val="007B608D"/>
    <w:rsid w:val="007B7617"/>
    <w:rsid w:val="007B7AC4"/>
    <w:rsid w:val="007C03D7"/>
    <w:rsid w:val="007C10F4"/>
    <w:rsid w:val="007C17FA"/>
    <w:rsid w:val="007C1877"/>
    <w:rsid w:val="007C187E"/>
    <w:rsid w:val="007C1A7E"/>
    <w:rsid w:val="007C1EFB"/>
    <w:rsid w:val="007C2E16"/>
    <w:rsid w:val="007C4C11"/>
    <w:rsid w:val="007D17F4"/>
    <w:rsid w:val="007D28BB"/>
    <w:rsid w:val="007D485A"/>
    <w:rsid w:val="007D70EE"/>
    <w:rsid w:val="007E33A2"/>
    <w:rsid w:val="007E3C28"/>
    <w:rsid w:val="007E579D"/>
    <w:rsid w:val="007E6C0D"/>
    <w:rsid w:val="007E7B2E"/>
    <w:rsid w:val="007F044A"/>
    <w:rsid w:val="007F1604"/>
    <w:rsid w:val="007F3F23"/>
    <w:rsid w:val="007F5C1A"/>
    <w:rsid w:val="00800BC2"/>
    <w:rsid w:val="008037CA"/>
    <w:rsid w:val="008048BD"/>
    <w:rsid w:val="00805C4C"/>
    <w:rsid w:val="00806822"/>
    <w:rsid w:val="00810C47"/>
    <w:rsid w:val="00811024"/>
    <w:rsid w:val="00811A76"/>
    <w:rsid w:val="00811ABE"/>
    <w:rsid w:val="00812D0C"/>
    <w:rsid w:val="0081341B"/>
    <w:rsid w:val="00813B32"/>
    <w:rsid w:val="00814444"/>
    <w:rsid w:val="00815AFE"/>
    <w:rsid w:val="00817622"/>
    <w:rsid w:val="008235AF"/>
    <w:rsid w:val="00823688"/>
    <w:rsid w:val="00823F09"/>
    <w:rsid w:val="0082503A"/>
    <w:rsid w:val="00825969"/>
    <w:rsid w:val="00825AC6"/>
    <w:rsid w:val="00826D0E"/>
    <w:rsid w:val="00826FA0"/>
    <w:rsid w:val="0083302B"/>
    <w:rsid w:val="00835F61"/>
    <w:rsid w:val="00837AB4"/>
    <w:rsid w:val="008416D5"/>
    <w:rsid w:val="00841B0D"/>
    <w:rsid w:val="00841EB4"/>
    <w:rsid w:val="00845FEE"/>
    <w:rsid w:val="00846588"/>
    <w:rsid w:val="008465B8"/>
    <w:rsid w:val="00847752"/>
    <w:rsid w:val="0084799A"/>
    <w:rsid w:val="008505AB"/>
    <w:rsid w:val="00850995"/>
    <w:rsid w:val="00852023"/>
    <w:rsid w:val="00856DD3"/>
    <w:rsid w:val="0085774C"/>
    <w:rsid w:val="00857FF9"/>
    <w:rsid w:val="00860699"/>
    <w:rsid w:val="00861E46"/>
    <w:rsid w:val="00861E9B"/>
    <w:rsid w:val="00861EA6"/>
    <w:rsid w:val="008624E3"/>
    <w:rsid w:val="008629A6"/>
    <w:rsid w:val="0086427C"/>
    <w:rsid w:val="00865AA7"/>
    <w:rsid w:val="008661D5"/>
    <w:rsid w:val="008706BD"/>
    <w:rsid w:val="00870E78"/>
    <w:rsid w:val="00871AFB"/>
    <w:rsid w:val="008723C9"/>
    <w:rsid w:val="00872D68"/>
    <w:rsid w:val="00873A6E"/>
    <w:rsid w:val="00875CFC"/>
    <w:rsid w:val="00876A03"/>
    <w:rsid w:val="00882494"/>
    <w:rsid w:val="00884D9D"/>
    <w:rsid w:val="008856EF"/>
    <w:rsid w:val="008945F1"/>
    <w:rsid w:val="008977C4"/>
    <w:rsid w:val="008A1FBF"/>
    <w:rsid w:val="008A2B46"/>
    <w:rsid w:val="008A4C13"/>
    <w:rsid w:val="008A7439"/>
    <w:rsid w:val="008A74AE"/>
    <w:rsid w:val="008B0C3B"/>
    <w:rsid w:val="008B0E50"/>
    <w:rsid w:val="008B1A41"/>
    <w:rsid w:val="008B2E38"/>
    <w:rsid w:val="008B2FE8"/>
    <w:rsid w:val="008B32AD"/>
    <w:rsid w:val="008B585F"/>
    <w:rsid w:val="008B694E"/>
    <w:rsid w:val="008C0CA9"/>
    <w:rsid w:val="008C17BF"/>
    <w:rsid w:val="008C24F0"/>
    <w:rsid w:val="008C333D"/>
    <w:rsid w:val="008C45D3"/>
    <w:rsid w:val="008C531A"/>
    <w:rsid w:val="008C5A28"/>
    <w:rsid w:val="008D04CD"/>
    <w:rsid w:val="008D07A5"/>
    <w:rsid w:val="008D0D3F"/>
    <w:rsid w:val="008D1A24"/>
    <w:rsid w:val="008D2640"/>
    <w:rsid w:val="008D2B2E"/>
    <w:rsid w:val="008D51D6"/>
    <w:rsid w:val="008D5981"/>
    <w:rsid w:val="008D5A7E"/>
    <w:rsid w:val="008D75B4"/>
    <w:rsid w:val="008E1B46"/>
    <w:rsid w:val="008E24CA"/>
    <w:rsid w:val="008E2547"/>
    <w:rsid w:val="008E352A"/>
    <w:rsid w:val="008E3D4C"/>
    <w:rsid w:val="008E4017"/>
    <w:rsid w:val="008E405E"/>
    <w:rsid w:val="008E526F"/>
    <w:rsid w:val="008E5670"/>
    <w:rsid w:val="008E60D5"/>
    <w:rsid w:val="008E6138"/>
    <w:rsid w:val="008F04BE"/>
    <w:rsid w:val="008F1FCE"/>
    <w:rsid w:val="008F253F"/>
    <w:rsid w:val="008F3A32"/>
    <w:rsid w:val="008F6958"/>
    <w:rsid w:val="008F6C61"/>
    <w:rsid w:val="008F71EC"/>
    <w:rsid w:val="00900F82"/>
    <w:rsid w:val="009027F1"/>
    <w:rsid w:val="009045B7"/>
    <w:rsid w:val="009049FC"/>
    <w:rsid w:val="00904F9E"/>
    <w:rsid w:val="0090574C"/>
    <w:rsid w:val="00906570"/>
    <w:rsid w:val="009100E1"/>
    <w:rsid w:val="00910A6D"/>
    <w:rsid w:val="00910CFA"/>
    <w:rsid w:val="00911185"/>
    <w:rsid w:val="009122E5"/>
    <w:rsid w:val="009136DA"/>
    <w:rsid w:val="00913EE7"/>
    <w:rsid w:val="00916D5A"/>
    <w:rsid w:val="0092103F"/>
    <w:rsid w:val="00922922"/>
    <w:rsid w:val="0092299C"/>
    <w:rsid w:val="00923311"/>
    <w:rsid w:val="00923DE8"/>
    <w:rsid w:val="00924699"/>
    <w:rsid w:val="00926C39"/>
    <w:rsid w:val="0093025B"/>
    <w:rsid w:val="0093091C"/>
    <w:rsid w:val="009339D3"/>
    <w:rsid w:val="009348F9"/>
    <w:rsid w:val="00935644"/>
    <w:rsid w:val="009400DD"/>
    <w:rsid w:val="00940834"/>
    <w:rsid w:val="00942B77"/>
    <w:rsid w:val="00945A13"/>
    <w:rsid w:val="00945BB9"/>
    <w:rsid w:val="00947C70"/>
    <w:rsid w:val="00952E6D"/>
    <w:rsid w:val="00953C55"/>
    <w:rsid w:val="0095594C"/>
    <w:rsid w:val="00962DCC"/>
    <w:rsid w:val="0096328D"/>
    <w:rsid w:val="00963DEC"/>
    <w:rsid w:val="00964329"/>
    <w:rsid w:val="00965C39"/>
    <w:rsid w:val="009668BC"/>
    <w:rsid w:val="00966ADB"/>
    <w:rsid w:val="009718DB"/>
    <w:rsid w:val="009738A1"/>
    <w:rsid w:val="00974339"/>
    <w:rsid w:val="009745AF"/>
    <w:rsid w:val="0097567B"/>
    <w:rsid w:val="00975A69"/>
    <w:rsid w:val="00977D59"/>
    <w:rsid w:val="00977FF8"/>
    <w:rsid w:val="00980A57"/>
    <w:rsid w:val="00981FA7"/>
    <w:rsid w:val="0098206C"/>
    <w:rsid w:val="009825BE"/>
    <w:rsid w:val="00982EE5"/>
    <w:rsid w:val="00983122"/>
    <w:rsid w:val="009844CE"/>
    <w:rsid w:val="009863BB"/>
    <w:rsid w:val="00986D1D"/>
    <w:rsid w:val="009872A9"/>
    <w:rsid w:val="0098775D"/>
    <w:rsid w:val="009903B3"/>
    <w:rsid w:val="00991657"/>
    <w:rsid w:val="0099661E"/>
    <w:rsid w:val="00996A96"/>
    <w:rsid w:val="00996F68"/>
    <w:rsid w:val="00996F86"/>
    <w:rsid w:val="00997964"/>
    <w:rsid w:val="009A16BA"/>
    <w:rsid w:val="009A2290"/>
    <w:rsid w:val="009A3149"/>
    <w:rsid w:val="009A5B77"/>
    <w:rsid w:val="009B0378"/>
    <w:rsid w:val="009B37FE"/>
    <w:rsid w:val="009B425F"/>
    <w:rsid w:val="009B69DA"/>
    <w:rsid w:val="009B71CF"/>
    <w:rsid w:val="009C27A4"/>
    <w:rsid w:val="009C2B18"/>
    <w:rsid w:val="009C3E63"/>
    <w:rsid w:val="009C4855"/>
    <w:rsid w:val="009C51CD"/>
    <w:rsid w:val="009C5F04"/>
    <w:rsid w:val="009C5F71"/>
    <w:rsid w:val="009C6593"/>
    <w:rsid w:val="009C735B"/>
    <w:rsid w:val="009C7F03"/>
    <w:rsid w:val="009D204A"/>
    <w:rsid w:val="009D3281"/>
    <w:rsid w:val="009D52F5"/>
    <w:rsid w:val="009E0259"/>
    <w:rsid w:val="009E07B3"/>
    <w:rsid w:val="009E1B91"/>
    <w:rsid w:val="009E1EB5"/>
    <w:rsid w:val="009E27D7"/>
    <w:rsid w:val="009E322C"/>
    <w:rsid w:val="009E6B82"/>
    <w:rsid w:val="009E6FC0"/>
    <w:rsid w:val="009F0970"/>
    <w:rsid w:val="009F1F42"/>
    <w:rsid w:val="009F3EB8"/>
    <w:rsid w:val="009F609D"/>
    <w:rsid w:val="00A02744"/>
    <w:rsid w:val="00A04A1C"/>
    <w:rsid w:val="00A05C8B"/>
    <w:rsid w:val="00A06032"/>
    <w:rsid w:val="00A06362"/>
    <w:rsid w:val="00A11DD8"/>
    <w:rsid w:val="00A13F82"/>
    <w:rsid w:val="00A206D2"/>
    <w:rsid w:val="00A208C2"/>
    <w:rsid w:val="00A20E3F"/>
    <w:rsid w:val="00A225C4"/>
    <w:rsid w:val="00A245BA"/>
    <w:rsid w:val="00A26308"/>
    <w:rsid w:val="00A2661B"/>
    <w:rsid w:val="00A27A8C"/>
    <w:rsid w:val="00A30580"/>
    <w:rsid w:val="00A3099A"/>
    <w:rsid w:val="00A3148C"/>
    <w:rsid w:val="00A31C7D"/>
    <w:rsid w:val="00A32440"/>
    <w:rsid w:val="00A32C7B"/>
    <w:rsid w:val="00A35324"/>
    <w:rsid w:val="00A36D58"/>
    <w:rsid w:val="00A3718E"/>
    <w:rsid w:val="00A37FFC"/>
    <w:rsid w:val="00A41286"/>
    <w:rsid w:val="00A4154A"/>
    <w:rsid w:val="00A42FF2"/>
    <w:rsid w:val="00A43195"/>
    <w:rsid w:val="00A43717"/>
    <w:rsid w:val="00A4473B"/>
    <w:rsid w:val="00A44DDC"/>
    <w:rsid w:val="00A45E61"/>
    <w:rsid w:val="00A476AA"/>
    <w:rsid w:val="00A505D0"/>
    <w:rsid w:val="00A5103E"/>
    <w:rsid w:val="00A51AEC"/>
    <w:rsid w:val="00A529AB"/>
    <w:rsid w:val="00A5623F"/>
    <w:rsid w:val="00A6286D"/>
    <w:rsid w:val="00A62FE5"/>
    <w:rsid w:val="00A63DF5"/>
    <w:rsid w:val="00A64827"/>
    <w:rsid w:val="00A64D58"/>
    <w:rsid w:val="00A6627C"/>
    <w:rsid w:val="00A668AB"/>
    <w:rsid w:val="00A71999"/>
    <w:rsid w:val="00A75AF6"/>
    <w:rsid w:val="00A76868"/>
    <w:rsid w:val="00A77690"/>
    <w:rsid w:val="00A80189"/>
    <w:rsid w:val="00A815B7"/>
    <w:rsid w:val="00A81EE6"/>
    <w:rsid w:val="00A8268E"/>
    <w:rsid w:val="00A853C5"/>
    <w:rsid w:val="00A86DB1"/>
    <w:rsid w:val="00A92BC7"/>
    <w:rsid w:val="00A938AD"/>
    <w:rsid w:val="00A96331"/>
    <w:rsid w:val="00A964C6"/>
    <w:rsid w:val="00AA119B"/>
    <w:rsid w:val="00AA14E4"/>
    <w:rsid w:val="00AA16C5"/>
    <w:rsid w:val="00AA17A0"/>
    <w:rsid w:val="00AA2228"/>
    <w:rsid w:val="00AA2D1B"/>
    <w:rsid w:val="00AA41C1"/>
    <w:rsid w:val="00AA7767"/>
    <w:rsid w:val="00AA7BC6"/>
    <w:rsid w:val="00AB1AEF"/>
    <w:rsid w:val="00AB3101"/>
    <w:rsid w:val="00AB3EA4"/>
    <w:rsid w:val="00AB575F"/>
    <w:rsid w:val="00AB662D"/>
    <w:rsid w:val="00AB663C"/>
    <w:rsid w:val="00AB67FE"/>
    <w:rsid w:val="00AB7E40"/>
    <w:rsid w:val="00AC111B"/>
    <w:rsid w:val="00AC2080"/>
    <w:rsid w:val="00AC2B69"/>
    <w:rsid w:val="00AC4A59"/>
    <w:rsid w:val="00AD0027"/>
    <w:rsid w:val="00AD00B5"/>
    <w:rsid w:val="00AD3761"/>
    <w:rsid w:val="00AE0A57"/>
    <w:rsid w:val="00AE263A"/>
    <w:rsid w:val="00AE52C0"/>
    <w:rsid w:val="00AE66E9"/>
    <w:rsid w:val="00AE7518"/>
    <w:rsid w:val="00AE7666"/>
    <w:rsid w:val="00AF0AEB"/>
    <w:rsid w:val="00AF0F7D"/>
    <w:rsid w:val="00AF21A4"/>
    <w:rsid w:val="00AF6109"/>
    <w:rsid w:val="00AF71FF"/>
    <w:rsid w:val="00B013A6"/>
    <w:rsid w:val="00B019E4"/>
    <w:rsid w:val="00B04E86"/>
    <w:rsid w:val="00B05131"/>
    <w:rsid w:val="00B0684F"/>
    <w:rsid w:val="00B06A2B"/>
    <w:rsid w:val="00B06D3D"/>
    <w:rsid w:val="00B071CA"/>
    <w:rsid w:val="00B104EA"/>
    <w:rsid w:val="00B1074A"/>
    <w:rsid w:val="00B14814"/>
    <w:rsid w:val="00B14E34"/>
    <w:rsid w:val="00B163F2"/>
    <w:rsid w:val="00B16EC3"/>
    <w:rsid w:val="00B17C4E"/>
    <w:rsid w:val="00B2167C"/>
    <w:rsid w:val="00B23301"/>
    <w:rsid w:val="00B254A4"/>
    <w:rsid w:val="00B26EDB"/>
    <w:rsid w:val="00B32931"/>
    <w:rsid w:val="00B331F7"/>
    <w:rsid w:val="00B33BAC"/>
    <w:rsid w:val="00B34737"/>
    <w:rsid w:val="00B3488C"/>
    <w:rsid w:val="00B34C26"/>
    <w:rsid w:val="00B354DE"/>
    <w:rsid w:val="00B37C4E"/>
    <w:rsid w:val="00B37CC5"/>
    <w:rsid w:val="00B401F6"/>
    <w:rsid w:val="00B41FC9"/>
    <w:rsid w:val="00B46CE3"/>
    <w:rsid w:val="00B55EF2"/>
    <w:rsid w:val="00B561D1"/>
    <w:rsid w:val="00B561F3"/>
    <w:rsid w:val="00B57BC7"/>
    <w:rsid w:val="00B60C72"/>
    <w:rsid w:val="00B60E11"/>
    <w:rsid w:val="00B61ACF"/>
    <w:rsid w:val="00B62142"/>
    <w:rsid w:val="00B6338D"/>
    <w:rsid w:val="00B675B1"/>
    <w:rsid w:val="00B675E7"/>
    <w:rsid w:val="00B676FB"/>
    <w:rsid w:val="00B70F76"/>
    <w:rsid w:val="00B7105E"/>
    <w:rsid w:val="00B72617"/>
    <w:rsid w:val="00B7373A"/>
    <w:rsid w:val="00B7547A"/>
    <w:rsid w:val="00B771A4"/>
    <w:rsid w:val="00B80105"/>
    <w:rsid w:val="00B80D57"/>
    <w:rsid w:val="00B853C9"/>
    <w:rsid w:val="00B85B0B"/>
    <w:rsid w:val="00B905FF"/>
    <w:rsid w:val="00B91B7C"/>
    <w:rsid w:val="00B92940"/>
    <w:rsid w:val="00B93186"/>
    <w:rsid w:val="00B933A6"/>
    <w:rsid w:val="00B94BBE"/>
    <w:rsid w:val="00B959FD"/>
    <w:rsid w:val="00B95C51"/>
    <w:rsid w:val="00B95FF7"/>
    <w:rsid w:val="00B97A50"/>
    <w:rsid w:val="00BA4229"/>
    <w:rsid w:val="00BA4C28"/>
    <w:rsid w:val="00BA6273"/>
    <w:rsid w:val="00BA775E"/>
    <w:rsid w:val="00BB15E1"/>
    <w:rsid w:val="00BB236F"/>
    <w:rsid w:val="00BB2ECE"/>
    <w:rsid w:val="00BB3BA0"/>
    <w:rsid w:val="00BB49D6"/>
    <w:rsid w:val="00BB6405"/>
    <w:rsid w:val="00BB6DA3"/>
    <w:rsid w:val="00BB6DB9"/>
    <w:rsid w:val="00BB7230"/>
    <w:rsid w:val="00BC0607"/>
    <w:rsid w:val="00BC20F5"/>
    <w:rsid w:val="00BC21F6"/>
    <w:rsid w:val="00BC499F"/>
    <w:rsid w:val="00BC6A0A"/>
    <w:rsid w:val="00BC78D8"/>
    <w:rsid w:val="00BD144C"/>
    <w:rsid w:val="00BD321A"/>
    <w:rsid w:val="00BD3A39"/>
    <w:rsid w:val="00BD52E8"/>
    <w:rsid w:val="00BD5CC2"/>
    <w:rsid w:val="00BD6204"/>
    <w:rsid w:val="00BD6695"/>
    <w:rsid w:val="00BE00F0"/>
    <w:rsid w:val="00BE11A6"/>
    <w:rsid w:val="00BE13BD"/>
    <w:rsid w:val="00BE3081"/>
    <w:rsid w:val="00BE3BA0"/>
    <w:rsid w:val="00BE4841"/>
    <w:rsid w:val="00BE5368"/>
    <w:rsid w:val="00BE5DB2"/>
    <w:rsid w:val="00BE5EB8"/>
    <w:rsid w:val="00BE648A"/>
    <w:rsid w:val="00BE7AE6"/>
    <w:rsid w:val="00BE7B63"/>
    <w:rsid w:val="00BF2FCC"/>
    <w:rsid w:val="00BF3BBF"/>
    <w:rsid w:val="00BF5564"/>
    <w:rsid w:val="00C00B6C"/>
    <w:rsid w:val="00C01B18"/>
    <w:rsid w:val="00C01B72"/>
    <w:rsid w:val="00C01D77"/>
    <w:rsid w:val="00C0223D"/>
    <w:rsid w:val="00C02A7D"/>
    <w:rsid w:val="00C03C44"/>
    <w:rsid w:val="00C05351"/>
    <w:rsid w:val="00C06909"/>
    <w:rsid w:val="00C0756D"/>
    <w:rsid w:val="00C10AEA"/>
    <w:rsid w:val="00C11C2C"/>
    <w:rsid w:val="00C1334F"/>
    <w:rsid w:val="00C14253"/>
    <w:rsid w:val="00C16082"/>
    <w:rsid w:val="00C178F5"/>
    <w:rsid w:val="00C17E5C"/>
    <w:rsid w:val="00C20D79"/>
    <w:rsid w:val="00C21DFF"/>
    <w:rsid w:val="00C225D2"/>
    <w:rsid w:val="00C2289C"/>
    <w:rsid w:val="00C23366"/>
    <w:rsid w:val="00C23723"/>
    <w:rsid w:val="00C237D0"/>
    <w:rsid w:val="00C2519F"/>
    <w:rsid w:val="00C32240"/>
    <w:rsid w:val="00C3266D"/>
    <w:rsid w:val="00C32CF1"/>
    <w:rsid w:val="00C36E93"/>
    <w:rsid w:val="00C36E99"/>
    <w:rsid w:val="00C42074"/>
    <w:rsid w:val="00C42803"/>
    <w:rsid w:val="00C43F22"/>
    <w:rsid w:val="00C447B5"/>
    <w:rsid w:val="00C44B26"/>
    <w:rsid w:val="00C4542E"/>
    <w:rsid w:val="00C47A47"/>
    <w:rsid w:val="00C54201"/>
    <w:rsid w:val="00C54B3B"/>
    <w:rsid w:val="00C56E1F"/>
    <w:rsid w:val="00C5706F"/>
    <w:rsid w:val="00C5741C"/>
    <w:rsid w:val="00C57932"/>
    <w:rsid w:val="00C605D2"/>
    <w:rsid w:val="00C60728"/>
    <w:rsid w:val="00C60B2E"/>
    <w:rsid w:val="00C614BD"/>
    <w:rsid w:val="00C633EF"/>
    <w:rsid w:val="00C65B17"/>
    <w:rsid w:val="00C6627F"/>
    <w:rsid w:val="00C71762"/>
    <w:rsid w:val="00C72366"/>
    <w:rsid w:val="00C72D83"/>
    <w:rsid w:val="00C74121"/>
    <w:rsid w:val="00C74CE2"/>
    <w:rsid w:val="00C76C5C"/>
    <w:rsid w:val="00C76F2E"/>
    <w:rsid w:val="00C776DA"/>
    <w:rsid w:val="00C77FF4"/>
    <w:rsid w:val="00C80116"/>
    <w:rsid w:val="00C8137A"/>
    <w:rsid w:val="00C83358"/>
    <w:rsid w:val="00C83835"/>
    <w:rsid w:val="00C839C4"/>
    <w:rsid w:val="00C84C63"/>
    <w:rsid w:val="00C87F29"/>
    <w:rsid w:val="00C90DE1"/>
    <w:rsid w:val="00C90E08"/>
    <w:rsid w:val="00C92197"/>
    <w:rsid w:val="00C958BB"/>
    <w:rsid w:val="00C969FB"/>
    <w:rsid w:val="00C97C27"/>
    <w:rsid w:val="00C97D96"/>
    <w:rsid w:val="00CA0094"/>
    <w:rsid w:val="00CA3412"/>
    <w:rsid w:val="00CA5314"/>
    <w:rsid w:val="00CA6CB4"/>
    <w:rsid w:val="00CA6FA5"/>
    <w:rsid w:val="00CA7D3C"/>
    <w:rsid w:val="00CB1A16"/>
    <w:rsid w:val="00CB3100"/>
    <w:rsid w:val="00CB42ED"/>
    <w:rsid w:val="00CB7EC7"/>
    <w:rsid w:val="00CC0DF2"/>
    <w:rsid w:val="00CC259C"/>
    <w:rsid w:val="00CC3855"/>
    <w:rsid w:val="00CC39AC"/>
    <w:rsid w:val="00CC640D"/>
    <w:rsid w:val="00CC7388"/>
    <w:rsid w:val="00CD182E"/>
    <w:rsid w:val="00CD2592"/>
    <w:rsid w:val="00CD5F5D"/>
    <w:rsid w:val="00CD62D7"/>
    <w:rsid w:val="00CD7B12"/>
    <w:rsid w:val="00CE0010"/>
    <w:rsid w:val="00CE08BB"/>
    <w:rsid w:val="00CE1C22"/>
    <w:rsid w:val="00CE2C50"/>
    <w:rsid w:val="00CE3F53"/>
    <w:rsid w:val="00CE6359"/>
    <w:rsid w:val="00CE70C9"/>
    <w:rsid w:val="00CE71AD"/>
    <w:rsid w:val="00CE7B3E"/>
    <w:rsid w:val="00CF178F"/>
    <w:rsid w:val="00CF2A70"/>
    <w:rsid w:val="00CF2CEB"/>
    <w:rsid w:val="00CF4C0F"/>
    <w:rsid w:val="00CF6CB4"/>
    <w:rsid w:val="00CF76B1"/>
    <w:rsid w:val="00CF7E3C"/>
    <w:rsid w:val="00CF7FE1"/>
    <w:rsid w:val="00D02A1D"/>
    <w:rsid w:val="00D0399E"/>
    <w:rsid w:val="00D03F09"/>
    <w:rsid w:val="00D04D32"/>
    <w:rsid w:val="00D06A53"/>
    <w:rsid w:val="00D1073B"/>
    <w:rsid w:val="00D1248A"/>
    <w:rsid w:val="00D128EB"/>
    <w:rsid w:val="00D146FA"/>
    <w:rsid w:val="00D14736"/>
    <w:rsid w:val="00D17538"/>
    <w:rsid w:val="00D17BF5"/>
    <w:rsid w:val="00D21F0F"/>
    <w:rsid w:val="00D22F01"/>
    <w:rsid w:val="00D25AC2"/>
    <w:rsid w:val="00D31858"/>
    <w:rsid w:val="00D32A66"/>
    <w:rsid w:val="00D33A43"/>
    <w:rsid w:val="00D3628E"/>
    <w:rsid w:val="00D37E63"/>
    <w:rsid w:val="00D40088"/>
    <w:rsid w:val="00D40155"/>
    <w:rsid w:val="00D416B3"/>
    <w:rsid w:val="00D42752"/>
    <w:rsid w:val="00D4280A"/>
    <w:rsid w:val="00D43F6C"/>
    <w:rsid w:val="00D44DAC"/>
    <w:rsid w:val="00D4603C"/>
    <w:rsid w:val="00D462B2"/>
    <w:rsid w:val="00D4798C"/>
    <w:rsid w:val="00D501C2"/>
    <w:rsid w:val="00D501F6"/>
    <w:rsid w:val="00D50F4C"/>
    <w:rsid w:val="00D51FB6"/>
    <w:rsid w:val="00D525DB"/>
    <w:rsid w:val="00D54D28"/>
    <w:rsid w:val="00D55A1D"/>
    <w:rsid w:val="00D564B3"/>
    <w:rsid w:val="00D575F0"/>
    <w:rsid w:val="00D579EF"/>
    <w:rsid w:val="00D601E9"/>
    <w:rsid w:val="00D64D08"/>
    <w:rsid w:val="00D66352"/>
    <w:rsid w:val="00D6673B"/>
    <w:rsid w:val="00D66FAF"/>
    <w:rsid w:val="00D66FB3"/>
    <w:rsid w:val="00D71AFF"/>
    <w:rsid w:val="00D72BE8"/>
    <w:rsid w:val="00D74018"/>
    <w:rsid w:val="00D74DBF"/>
    <w:rsid w:val="00D7531D"/>
    <w:rsid w:val="00D75641"/>
    <w:rsid w:val="00D7622F"/>
    <w:rsid w:val="00D762F8"/>
    <w:rsid w:val="00D7654D"/>
    <w:rsid w:val="00D765EA"/>
    <w:rsid w:val="00D766E7"/>
    <w:rsid w:val="00D767B2"/>
    <w:rsid w:val="00D77E96"/>
    <w:rsid w:val="00D77FF4"/>
    <w:rsid w:val="00D80597"/>
    <w:rsid w:val="00D82D80"/>
    <w:rsid w:val="00D830FF"/>
    <w:rsid w:val="00D8772A"/>
    <w:rsid w:val="00D900A8"/>
    <w:rsid w:val="00D91237"/>
    <w:rsid w:val="00D918D2"/>
    <w:rsid w:val="00D92472"/>
    <w:rsid w:val="00D92481"/>
    <w:rsid w:val="00D92AE3"/>
    <w:rsid w:val="00D92F2F"/>
    <w:rsid w:val="00D93025"/>
    <w:rsid w:val="00D95A42"/>
    <w:rsid w:val="00D962E5"/>
    <w:rsid w:val="00D96A92"/>
    <w:rsid w:val="00D96E92"/>
    <w:rsid w:val="00D97BE2"/>
    <w:rsid w:val="00DA17D2"/>
    <w:rsid w:val="00DA2AFC"/>
    <w:rsid w:val="00DA3112"/>
    <w:rsid w:val="00DA462C"/>
    <w:rsid w:val="00DA5B29"/>
    <w:rsid w:val="00DA5CC8"/>
    <w:rsid w:val="00DA6841"/>
    <w:rsid w:val="00DB178D"/>
    <w:rsid w:val="00DB4457"/>
    <w:rsid w:val="00DB569F"/>
    <w:rsid w:val="00DB59D8"/>
    <w:rsid w:val="00DB5E3C"/>
    <w:rsid w:val="00DB647A"/>
    <w:rsid w:val="00DB657E"/>
    <w:rsid w:val="00DB7100"/>
    <w:rsid w:val="00DC0B53"/>
    <w:rsid w:val="00DC3CFF"/>
    <w:rsid w:val="00DC4012"/>
    <w:rsid w:val="00DC5F3E"/>
    <w:rsid w:val="00DC78B5"/>
    <w:rsid w:val="00DD1183"/>
    <w:rsid w:val="00DD1C44"/>
    <w:rsid w:val="00DD34CB"/>
    <w:rsid w:val="00DD47C1"/>
    <w:rsid w:val="00DD54B9"/>
    <w:rsid w:val="00DD6215"/>
    <w:rsid w:val="00DE037F"/>
    <w:rsid w:val="00DE0542"/>
    <w:rsid w:val="00DE0FFD"/>
    <w:rsid w:val="00DE100D"/>
    <w:rsid w:val="00DE1734"/>
    <w:rsid w:val="00DE34DF"/>
    <w:rsid w:val="00DE61F6"/>
    <w:rsid w:val="00DE6824"/>
    <w:rsid w:val="00DE6953"/>
    <w:rsid w:val="00DE7250"/>
    <w:rsid w:val="00DF2172"/>
    <w:rsid w:val="00DF231E"/>
    <w:rsid w:val="00DF4372"/>
    <w:rsid w:val="00DF57B5"/>
    <w:rsid w:val="00DF6D5B"/>
    <w:rsid w:val="00DF71C3"/>
    <w:rsid w:val="00E0176F"/>
    <w:rsid w:val="00E02134"/>
    <w:rsid w:val="00E03270"/>
    <w:rsid w:val="00E07ADB"/>
    <w:rsid w:val="00E11452"/>
    <w:rsid w:val="00E12E31"/>
    <w:rsid w:val="00E13621"/>
    <w:rsid w:val="00E13DE3"/>
    <w:rsid w:val="00E147AD"/>
    <w:rsid w:val="00E17836"/>
    <w:rsid w:val="00E17C44"/>
    <w:rsid w:val="00E202E9"/>
    <w:rsid w:val="00E222ED"/>
    <w:rsid w:val="00E233B2"/>
    <w:rsid w:val="00E245C6"/>
    <w:rsid w:val="00E2496D"/>
    <w:rsid w:val="00E24A4E"/>
    <w:rsid w:val="00E25390"/>
    <w:rsid w:val="00E265C3"/>
    <w:rsid w:val="00E3133D"/>
    <w:rsid w:val="00E329CB"/>
    <w:rsid w:val="00E32A3E"/>
    <w:rsid w:val="00E32DBE"/>
    <w:rsid w:val="00E338B1"/>
    <w:rsid w:val="00E3461A"/>
    <w:rsid w:val="00E34A0E"/>
    <w:rsid w:val="00E354D8"/>
    <w:rsid w:val="00E366A0"/>
    <w:rsid w:val="00E37420"/>
    <w:rsid w:val="00E4261A"/>
    <w:rsid w:val="00E43396"/>
    <w:rsid w:val="00E44806"/>
    <w:rsid w:val="00E44F88"/>
    <w:rsid w:val="00E51A44"/>
    <w:rsid w:val="00E51DDE"/>
    <w:rsid w:val="00E5347C"/>
    <w:rsid w:val="00E55F9A"/>
    <w:rsid w:val="00E57C0A"/>
    <w:rsid w:val="00E57F40"/>
    <w:rsid w:val="00E601D4"/>
    <w:rsid w:val="00E602F7"/>
    <w:rsid w:val="00E67E66"/>
    <w:rsid w:val="00E710F6"/>
    <w:rsid w:val="00E71D3E"/>
    <w:rsid w:val="00E73F3A"/>
    <w:rsid w:val="00E7476A"/>
    <w:rsid w:val="00E752D4"/>
    <w:rsid w:val="00E80963"/>
    <w:rsid w:val="00E82118"/>
    <w:rsid w:val="00E822D4"/>
    <w:rsid w:val="00E825CA"/>
    <w:rsid w:val="00E828F4"/>
    <w:rsid w:val="00E861AD"/>
    <w:rsid w:val="00E9061B"/>
    <w:rsid w:val="00E91134"/>
    <w:rsid w:val="00E9267D"/>
    <w:rsid w:val="00E9413F"/>
    <w:rsid w:val="00E94D26"/>
    <w:rsid w:val="00E94DCB"/>
    <w:rsid w:val="00E954F3"/>
    <w:rsid w:val="00E95F38"/>
    <w:rsid w:val="00E9621E"/>
    <w:rsid w:val="00E9658D"/>
    <w:rsid w:val="00E96AEB"/>
    <w:rsid w:val="00EA005B"/>
    <w:rsid w:val="00EA18C8"/>
    <w:rsid w:val="00EA1BB7"/>
    <w:rsid w:val="00EA32DE"/>
    <w:rsid w:val="00EA6E3B"/>
    <w:rsid w:val="00EB11AF"/>
    <w:rsid w:val="00EB21B5"/>
    <w:rsid w:val="00EB2D0B"/>
    <w:rsid w:val="00EB2DAA"/>
    <w:rsid w:val="00EB3071"/>
    <w:rsid w:val="00EB594B"/>
    <w:rsid w:val="00EC60BA"/>
    <w:rsid w:val="00EC64FA"/>
    <w:rsid w:val="00EC668E"/>
    <w:rsid w:val="00EC7B59"/>
    <w:rsid w:val="00ED023F"/>
    <w:rsid w:val="00ED10B5"/>
    <w:rsid w:val="00ED25B7"/>
    <w:rsid w:val="00ED2DA7"/>
    <w:rsid w:val="00ED69C4"/>
    <w:rsid w:val="00EE0ED7"/>
    <w:rsid w:val="00EE1364"/>
    <w:rsid w:val="00EE19ED"/>
    <w:rsid w:val="00EE1B9E"/>
    <w:rsid w:val="00EE21AE"/>
    <w:rsid w:val="00EE2D05"/>
    <w:rsid w:val="00EE2F08"/>
    <w:rsid w:val="00EE6036"/>
    <w:rsid w:val="00EE7546"/>
    <w:rsid w:val="00EE7C16"/>
    <w:rsid w:val="00EF0ECE"/>
    <w:rsid w:val="00EF1077"/>
    <w:rsid w:val="00EF3470"/>
    <w:rsid w:val="00EF49F4"/>
    <w:rsid w:val="00EF4F11"/>
    <w:rsid w:val="00EF57E1"/>
    <w:rsid w:val="00EF6142"/>
    <w:rsid w:val="00F00C50"/>
    <w:rsid w:val="00F03593"/>
    <w:rsid w:val="00F03C01"/>
    <w:rsid w:val="00F04D8F"/>
    <w:rsid w:val="00F0511A"/>
    <w:rsid w:val="00F06031"/>
    <w:rsid w:val="00F06A62"/>
    <w:rsid w:val="00F07672"/>
    <w:rsid w:val="00F1416F"/>
    <w:rsid w:val="00F14507"/>
    <w:rsid w:val="00F16785"/>
    <w:rsid w:val="00F178B9"/>
    <w:rsid w:val="00F21D22"/>
    <w:rsid w:val="00F22C88"/>
    <w:rsid w:val="00F24295"/>
    <w:rsid w:val="00F249D3"/>
    <w:rsid w:val="00F30163"/>
    <w:rsid w:val="00F30534"/>
    <w:rsid w:val="00F3121C"/>
    <w:rsid w:val="00F3281A"/>
    <w:rsid w:val="00F32A66"/>
    <w:rsid w:val="00F3347E"/>
    <w:rsid w:val="00F33C74"/>
    <w:rsid w:val="00F37371"/>
    <w:rsid w:val="00F37E2A"/>
    <w:rsid w:val="00F37EB5"/>
    <w:rsid w:val="00F408AA"/>
    <w:rsid w:val="00F41DF5"/>
    <w:rsid w:val="00F43D48"/>
    <w:rsid w:val="00F44A5F"/>
    <w:rsid w:val="00F456B6"/>
    <w:rsid w:val="00F460EB"/>
    <w:rsid w:val="00F517A5"/>
    <w:rsid w:val="00F53386"/>
    <w:rsid w:val="00F54727"/>
    <w:rsid w:val="00F57B2F"/>
    <w:rsid w:val="00F607D2"/>
    <w:rsid w:val="00F6224C"/>
    <w:rsid w:val="00F6314A"/>
    <w:rsid w:val="00F64E20"/>
    <w:rsid w:val="00F666FA"/>
    <w:rsid w:val="00F71093"/>
    <w:rsid w:val="00F71711"/>
    <w:rsid w:val="00F729A0"/>
    <w:rsid w:val="00F72EA4"/>
    <w:rsid w:val="00F73148"/>
    <w:rsid w:val="00F73DA2"/>
    <w:rsid w:val="00F75D2B"/>
    <w:rsid w:val="00F76297"/>
    <w:rsid w:val="00F76B13"/>
    <w:rsid w:val="00F76CC0"/>
    <w:rsid w:val="00F77052"/>
    <w:rsid w:val="00F774F1"/>
    <w:rsid w:val="00F775C2"/>
    <w:rsid w:val="00F83D84"/>
    <w:rsid w:val="00F83DB8"/>
    <w:rsid w:val="00F846CC"/>
    <w:rsid w:val="00F8532D"/>
    <w:rsid w:val="00F90642"/>
    <w:rsid w:val="00F92D05"/>
    <w:rsid w:val="00F95751"/>
    <w:rsid w:val="00F95C2D"/>
    <w:rsid w:val="00F9604C"/>
    <w:rsid w:val="00FA129C"/>
    <w:rsid w:val="00FA1E6F"/>
    <w:rsid w:val="00FA2DE9"/>
    <w:rsid w:val="00FA325D"/>
    <w:rsid w:val="00FA36A2"/>
    <w:rsid w:val="00FA400D"/>
    <w:rsid w:val="00FA5A8E"/>
    <w:rsid w:val="00FA6646"/>
    <w:rsid w:val="00FA715B"/>
    <w:rsid w:val="00FA7DE8"/>
    <w:rsid w:val="00FA7F74"/>
    <w:rsid w:val="00FB0537"/>
    <w:rsid w:val="00FB06CC"/>
    <w:rsid w:val="00FB11F4"/>
    <w:rsid w:val="00FB172C"/>
    <w:rsid w:val="00FB1914"/>
    <w:rsid w:val="00FB33B0"/>
    <w:rsid w:val="00FB42E2"/>
    <w:rsid w:val="00FB43A0"/>
    <w:rsid w:val="00FC00FF"/>
    <w:rsid w:val="00FC03AD"/>
    <w:rsid w:val="00FC25EE"/>
    <w:rsid w:val="00FC27E7"/>
    <w:rsid w:val="00FC7F1C"/>
    <w:rsid w:val="00FD023E"/>
    <w:rsid w:val="00FD0EC7"/>
    <w:rsid w:val="00FD0EF9"/>
    <w:rsid w:val="00FD1335"/>
    <w:rsid w:val="00FD407D"/>
    <w:rsid w:val="00FD6FAC"/>
    <w:rsid w:val="00FD7BB0"/>
    <w:rsid w:val="00FE0CD2"/>
    <w:rsid w:val="00FE13CC"/>
    <w:rsid w:val="00FE1D8A"/>
    <w:rsid w:val="00FE3783"/>
    <w:rsid w:val="00FE7C2C"/>
    <w:rsid w:val="00FF0DB3"/>
    <w:rsid w:val="00FF12FE"/>
    <w:rsid w:val="00FF16F9"/>
    <w:rsid w:val="00FF4702"/>
    <w:rsid w:val="00FF55B3"/>
    <w:rsid w:val="00FF749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eee,#f5f5f5,#f9f9f9"/>
    </o:shapedefaults>
    <o:shapelayout v:ext="edit">
      <o:idmap v:ext="edit" data="1"/>
    </o:shapelayout>
  </w:shapeDefaults>
  <w:decimalSymbol w:val="."/>
  <w:listSeparator w:val=","/>
  <w14:docId w14:val="3F8211ED"/>
  <w15:chartTrackingRefBased/>
  <w15:docId w15:val="{EA9CEA9C-6F59-4F5C-A3DB-ACCECED45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4DDC"/>
    <w:rPr>
      <w:rFonts w:ascii="Palatino Linotype" w:hAnsi="Palatino Linotype"/>
      <w:sz w:val="18"/>
      <w:lang w:val="en-GB"/>
    </w:rPr>
  </w:style>
  <w:style w:type="paragraph" w:styleId="Heading1">
    <w:name w:val="heading 1"/>
    <w:basedOn w:val="Normal"/>
    <w:next w:val="Normal"/>
    <w:link w:val="Heading1Char"/>
    <w:autoRedefine/>
    <w:uiPriority w:val="9"/>
    <w:qFormat/>
    <w:rsid w:val="006245EE"/>
    <w:pPr>
      <w:keepNext/>
      <w:keepLines/>
      <w:tabs>
        <w:tab w:val="left" w:pos="1350"/>
      </w:tabs>
      <w:spacing w:before="150" w:after="150" w:line="276" w:lineRule="auto"/>
      <w:outlineLvl w:val="0"/>
    </w:pPr>
    <w:rPr>
      <w:rFonts w:ascii="Plantagenet Cherokee" w:hAnsi="Plantagenet Cherokee" w:cstheme="majorBidi"/>
      <w:b/>
      <w:bCs/>
      <w:iCs/>
      <w:caps/>
      <w:color w:val="074F6A"/>
      <w:sz w:val="24"/>
      <w:lang w:val="en-US"/>
    </w:rPr>
  </w:style>
  <w:style w:type="paragraph" w:styleId="Heading2">
    <w:name w:val="heading 2"/>
    <w:basedOn w:val="Normal"/>
    <w:next w:val="Normal"/>
    <w:link w:val="Heading2Char"/>
    <w:uiPriority w:val="9"/>
    <w:unhideWhenUsed/>
    <w:qFormat/>
    <w:rsid w:val="004C035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C035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C035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C035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C035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C035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C035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C035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45EE"/>
    <w:rPr>
      <w:rFonts w:ascii="Plantagenet Cherokee" w:hAnsi="Plantagenet Cherokee" w:cstheme="majorBidi"/>
      <w:b/>
      <w:bCs/>
      <w:iCs/>
      <w:caps/>
      <w:color w:val="074F6A"/>
      <w:sz w:val="24"/>
    </w:rPr>
  </w:style>
  <w:style w:type="character" w:customStyle="1" w:styleId="Heading2Char">
    <w:name w:val="Heading 2 Char"/>
    <w:basedOn w:val="DefaultParagraphFont"/>
    <w:link w:val="Heading2"/>
    <w:uiPriority w:val="9"/>
    <w:rsid w:val="004C035B"/>
    <w:rPr>
      <w:rFonts w:asciiTheme="majorHAnsi" w:eastAsiaTheme="majorEastAsia" w:hAnsiTheme="majorHAnsi" w:cstheme="majorBidi"/>
      <w:color w:val="0F4761" w:themeColor="accent1" w:themeShade="BF"/>
      <w:sz w:val="32"/>
      <w:szCs w:val="32"/>
      <w:lang w:val="en-GB"/>
    </w:rPr>
  </w:style>
  <w:style w:type="character" w:customStyle="1" w:styleId="Heading3Char">
    <w:name w:val="Heading 3 Char"/>
    <w:basedOn w:val="DefaultParagraphFont"/>
    <w:link w:val="Heading3"/>
    <w:uiPriority w:val="9"/>
    <w:semiHidden/>
    <w:rsid w:val="004C035B"/>
    <w:rPr>
      <w:rFonts w:eastAsiaTheme="majorEastAsia" w:cstheme="majorBidi"/>
      <w:color w:val="0F4761" w:themeColor="accent1" w:themeShade="BF"/>
      <w:sz w:val="28"/>
      <w:szCs w:val="28"/>
      <w:lang w:val="en-GB"/>
    </w:rPr>
  </w:style>
  <w:style w:type="character" w:customStyle="1" w:styleId="Heading4Char">
    <w:name w:val="Heading 4 Char"/>
    <w:basedOn w:val="DefaultParagraphFont"/>
    <w:link w:val="Heading4"/>
    <w:uiPriority w:val="9"/>
    <w:semiHidden/>
    <w:rsid w:val="004C035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4C035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4C035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4C035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4C035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4C035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BD6204"/>
    <w:pPr>
      <w:spacing w:after="0" w:line="240" w:lineRule="auto"/>
    </w:pPr>
    <w:rPr>
      <w:rFonts w:ascii="Minion Pro SmBd" w:hAnsi="Minion Pro SmBd" w:cstheme="majorBidi"/>
      <w:b/>
      <w:bCs/>
      <w:color w:val="007370"/>
      <w:sz w:val="40"/>
      <w:szCs w:val="40"/>
      <w:lang w:val="en-US"/>
    </w:rPr>
  </w:style>
  <w:style w:type="character" w:customStyle="1" w:styleId="TitleChar">
    <w:name w:val="Title Char"/>
    <w:basedOn w:val="DefaultParagraphFont"/>
    <w:link w:val="Title"/>
    <w:uiPriority w:val="10"/>
    <w:rsid w:val="00BD6204"/>
    <w:rPr>
      <w:rFonts w:ascii="Minion Pro SmBd" w:hAnsi="Minion Pro SmBd" w:cstheme="majorBidi"/>
      <w:b/>
      <w:bCs/>
      <w:color w:val="007370"/>
      <w:sz w:val="40"/>
      <w:szCs w:val="40"/>
    </w:rPr>
  </w:style>
  <w:style w:type="paragraph" w:styleId="Subtitle">
    <w:name w:val="Subtitle"/>
    <w:basedOn w:val="Normal"/>
    <w:next w:val="Normal"/>
    <w:link w:val="SubtitleChar"/>
    <w:uiPriority w:val="11"/>
    <w:qFormat/>
    <w:rsid w:val="004C035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C035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4C035B"/>
    <w:pPr>
      <w:spacing w:before="160"/>
      <w:jc w:val="center"/>
    </w:pPr>
    <w:rPr>
      <w:i/>
      <w:iCs/>
      <w:color w:val="404040" w:themeColor="text1" w:themeTint="BF"/>
    </w:rPr>
  </w:style>
  <w:style w:type="character" w:customStyle="1" w:styleId="QuoteChar">
    <w:name w:val="Quote Char"/>
    <w:basedOn w:val="DefaultParagraphFont"/>
    <w:link w:val="Quote"/>
    <w:uiPriority w:val="29"/>
    <w:rsid w:val="004C035B"/>
    <w:rPr>
      <w:i/>
      <w:iCs/>
      <w:color w:val="404040" w:themeColor="text1" w:themeTint="BF"/>
      <w:lang w:val="en-GB"/>
    </w:rPr>
  </w:style>
  <w:style w:type="paragraph" w:styleId="ListParagraph">
    <w:name w:val="List Paragraph"/>
    <w:basedOn w:val="Normal"/>
    <w:uiPriority w:val="34"/>
    <w:qFormat/>
    <w:rsid w:val="004C035B"/>
    <w:pPr>
      <w:ind w:left="720"/>
      <w:contextualSpacing/>
    </w:pPr>
  </w:style>
  <w:style w:type="character" w:styleId="IntenseEmphasis">
    <w:name w:val="Intense Emphasis"/>
    <w:basedOn w:val="DefaultParagraphFont"/>
    <w:uiPriority w:val="21"/>
    <w:qFormat/>
    <w:rsid w:val="004C035B"/>
    <w:rPr>
      <w:i/>
      <w:iCs/>
      <w:color w:val="0F4761" w:themeColor="accent1" w:themeShade="BF"/>
    </w:rPr>
  </w:style>
  <w:style w:type="paragraph" w:styleId="IntenseQuote">
    <w:name w:val="Intense Quote"/>
    <w:basedOn w:val="Normal"/>
    <w:next w:val="Normal"/>
    <w:link w:val="IntenseQuoteChar"/>
    <w:uiPriority w:val="30"/>
    <w:qFormat/>
    <w:rsid w:val="004C035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C035B"/>
    <w:rPr>
      <w:i/>
      <w:iCs/>
      <w:color w:val="0F4761" w:themeColor="accent1" w:themeShade="BF"/>
      <w:lang w:val="en-GB"/>
    </w:rPr>
  </w:style>
  <w:style w:type="character" w:styleId="IntenseReference">
    <w:name w:val="Intense Reference"/>
    <w:basedOn w:val="DefaultParagraphFont"/>
    <w:uiPriority w:val="32"/>
    <w:qFormat/>
    <w:rsid w:val="004C035B"/>
    <w:rPr>
      <w:b/>
      <w:bCs/>
      <w:smallCaps/>
      <w:color w:val="0F4761" w:themeColor="accent1" w:themeShade="BF"/>
      <w:spacing w:val="5"/>
    </w:rPr>
  </w:style>
  <w:style w:type="character" w:styleId="Hyperlink">
    <w:name w:val="Hyperlink"/>
    <w:basedOn w:val="DefaultParagraphFont"/>
    <w:uiPriority w:val="99"/>
    <w:unhideWhenUsed/>
    <w:rsid w:val="004C035B"/>
    <w:rPr>
      <w:color w:val="467886" w:themeColor="hyperlink"/>
      <w:u w:val="single"/>
    </w:rPr>
  </w:style>
  <w:style w:type="paragraph" w:styleId="NoSpacing">
    <w:name w:val="No Spacing"/>
    <w:link w:val="NoSpacingChar"/>
    <w:uiPriority w:val="1"/>
    <w:qFormat/>
    <w:rsid w:val="004C035B"/>
    <w:pPr>
      <w:spacing w:after="0" w:line="240" w:lineRule="auto"/>
    </w:pPr>
    <w:rPr>
      <w:lang w:val="en-GB"/>
    </w:rPr>
  </w:style>
  <w:style w:type="character" w:customStyle="1" w:styleId="UnresolvedMention">
    <w:name w:val="Unresolved Mention"/>
    <w:basedOn w:val="DefaultParagraphFont"/>
    <w:uiPriority w:val="99"/>
    <w:semiHidden/>
    <w:unhideWhenUsed/>
    <w:rsid w:val="004C035B"/>
    <w:rPr>
      <w:color w:val="605E5C"/>
      <w:shd w:val="clear" w:color="auto" w:fill="E1DFDD"/>
    </w:rPr>
  </w:style>
  <w:style w:type="character" w:styleId="FollowedHyperlink">
    <w:name w:val="FollowedHyperlink"/>
    <w:basedOn w:val="DefaultParagraphFont"/>
    <w:uiPriority w:val="99"/>
    <w:semiHidden/>
    <w:unhideWhenUsed/>
    <w:rsid w:val="00092B1C"/>
    <w:rPr>
      <w:color w:val="96607D" w:themeColor="followedHyperlink"/>
      <w:u w:val="single"/>
    </w:rPr>
  </w:style>
  <w:style w:type="table" w:styleId="TableGrid">
    <w:name w:val="Table Grid"/>
    <w:basedOn w:val="TableNormal"/>
    <w:uiPriority w:val="39"/>
    <w:rsid w:val="00DE0FF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dTable1Light">
    <w:name w:val="Grid Table 1 Light"/>
    <w:aliases w:val="JHRR"/>
    <w:basedOn w:val="TableNormal"/>
    <w:uiPriority w:val="46"/>
    <w:rsid w:val="00922922"/>
    <w:pPr>
      <w:spacing w:after="0" w:line="240" w:lineRule="auto"/>
      <w:jc w:val="center"/>
    </w:pPr>
    <w:rPr>
      <w:rFonts w:ascii="Arial Narrow" w:hAnsi="Arial Narrow"/>
      <w:b/>
      <w:sz w:val="16"/>
    </w:rPr>
    <w:tblPr>
      <w:tblStyleColBandSize w:val="1"/>
      <w:tblInd w:w="0" w:type="dxa"/>
      <w:tblBorders>
        <w:bottom w:val="single" w:sz="2" w:space="0" w:color="auto"/>
      </w:tblBorders>
      <w:tblCellMar>
        <w:top w:w="0" w:type="dxa"/>
        <w:left w:w="108" w:type="dxa"/>
        <w:bottom w:w="0" w:type="dxa"/>
        <w:right w:w="108" w:type="dxa"/>
      </w:tblCellMar>
    </w:tblPr>
    <w:tcPr>
      <w:vAlign w:val="center"/>
    </w:tcPr>
    <w:tblStylePr w:type="firstRow">
      <w:rPr>
        <w:rFonts w:ascii="Palatino Linotype" w:hAnsi="Palatino Linotype"/>
        <w:b/>
        <w:bCs/>
        <w:color w:val="000000" w:themeColor="text1"/>
        <w:sz w:val="20"/>
      </w:rPr>
      <w:tblPr/>
      <w:tcPr>
        <w:tcBorders>
          <w:top w:val="single" w:sz="2" w:space="0" w:color="auto"/>
          <w:bottom w:val="single" w:sz="2" w:space="0" w:color="auto"/>
        </w:tcBorders>
      </w:tcPr>
    </w:tblStylePr>
    <w:tblStylePr w:type="lastRow">
      <w:rPr>
        <w:rFonts w:ascii="Palatino Linotype" w:hAnsi="Palatino Linotype"/>
        <w:b w:val="0"/>
        <w:bCs/>
      </w:rPr>
      <w:tblPr/>
      <w:tcPr>
        <w:tcBorders>
          <w:top w:val="nil"/>
        </w:tcBorders>
      </w:tcPr>
    </w:tblStylePr>
    <w:tblStylePr w:type="firstCol">
      <w:rPr>
        <w:b/>
        <w:bCs/>
      </w:rPr>
    </w:tblStylePr>
    <w:tblStylePr w:type="lastCol">
      <w:rPr>
        <w:b w:val="0"/>
        <w:bCs/>
      </w:r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tblStylePr w:type="swCell">
      <w:rPr>
        <w:b/>
      </w:rPr>
    </w:tblStylePr>
  </w:style>
  <w:style w:type="paragraph" w:customStyle="1" w:styleId="Body">
    <w:name w:val="Body"/>
    <w:basedOn w:val="Normal"/>
    <w:link w:val="BodyChar"/>
    <w:qFormat/>
    <w:rsid w:val="00AD00B5"/>
    <w:pPr>
      <w:spacing w:after="165" w:line="276" w:lineRule="auto"/>
      <w:jc w:val="both"/>
    </w:pPr>
    <w:rPr>
      <w:rFonts w:ascii="Plantagenet Cherokee" w:hAnsi="Plantagenet Cherokee" w:cs="Arial"/>
      <w:sz w:val="20"/>
      <w:szCs w:val="18"/>
      <w:lang w:val="en-US"/>
    </w:rPr>
  </w:style>
  <w:style w:type="character" w:customStyle="1" w:styleId="BodyChar">
    <w:name w:val="Body Char"/>
    <w:basedOn w:val="DefaultParagraphFont"/>
    <w:link w:val="Body"/>
    <w:rsid w:val="00AD00B5"/>
    <w:rPr>
      <w:rFonts w:ascii="Plantagenet Cherokee" w:hAnsi="Plantagenet Cherokee" w:cs="Arial"/>
      <w:sz w:val="20"/>
      <w:szCs w:val="18"/>
    </w:rPr>
  </w:style>
  <w:style w:type="table" w:styleId="GridTable1Light-Accent1">
    <w:name w:val="Grid Table 1 Light Accent 1"/>
    <w:basedOn w:val="TableNormal"/>
    <w:uiPriority w:val="46"/>
    <w:rsid w:val="00DE0FFD"/>
    <w:pPr>
      <w:spacing w:after="0" w:line="240" w:lineRule="auto"/>
    </w:pPr>
    <w:tblPr>
      <w:tblStyleRowBandSize w:val="1"/>
      <w:tblStyleColBandSize w:val="1"/>
      <w:tblInd w:w="0" w:type="dxa"/>
      <w:tblBorders>
        <w:top w:val="single" w:sz="4" w:space="0" w:color="83CAEB" w:themeColor="accent1" w:themeTint="66"/>
        <w:left w:val="single" w:sz="4" w:space="0" w:color="83CAEB" w:themeColor="accent1" w:themeTint="66"/>
        <w:bottom w:val="single" w:sz="4" w:space="0" w:color="83CAEB" w:themeColor="accent1" w:themeTint="66"/>
        <w:right w:val="single" w:sz="4" w:space="0" w:color="83CAEB" w:themeColor="accent1" w:themeTint="66"/>
        <w:insideH w:val="single" w:sz="4" w:space="0" w:color="83CAEB" w:themeColor="accent1" w:themeTint="66"/>
        <w:insideV w:val="single" w:sz="4" w:space="0" w:color="83CAEB" w:themeColor="accent1" w:themeTint="66"/>
      </w:tblBorders>
      <w:tblCellMar>
        <w:top w:w="0" w:type="dxa"/>
        <w:left w:w="108" w:type="dxa"/>
        <w:bottom w:w="0" w:type="dxa"/>
        <w:right w:w="108" w:type="dxa"/>
      </w:tblCellMar>
    </w:tblPr>
    <w:tblStylePr w:type="firstRow">
      <w:rPr>
        <w:b/>
        <w:bCs/>
      </w:rPr>
      <w:tblPr/>
      <w:tcPr>
        <w:tcBorders>
          <w:bottom w:val="single" w:sz="12" w:space="0" w:color="45B0E1" w:themeColor="accent1" w:themeTint="99"/>
        </w:tcBorders>
      </w:tcPr>
    </w:tblStylePr>
    <w:tblStylePr w:type="lastRow">
      <w:rPr>
        <w:b/>
        <w:bCs/>
      </w:rPr>
      <w:tblPr/>
      <w:tcPr>
        <w:tcBorders>
          <w:top w:val="double" w:sz="2" w:space="0" w:color="45B0E1"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DE0FFD"/>
    <w:pPr>
      <w:spacing w:after="0" w:line="240" w:lineRule="auto"/>
    </w:p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paragraph" w:customStyle="1" w:styleId="References">
    <w:name w:val="References"/>
    <w:link w:val="ReferencesChar"/>
    <w:qFormat/>
    <w:rsid w:val="0022392C"/>
    <w:pPr>
      <w:numPr>
        <w:numId w:val="1"/>
      </w:numPr>
      <w:spacing w:line="276" w:lineRule="auto"/>
      <w:jc w:val="both"/>
    </w:pPr>
    <w:rPr>
      <w:rFonts w:ascii="Barlow" w:hAnsi="Barlow"/>
      <w:sz w:val="18"/>
      <w:szCs w:val="18"/>
      <w:lang w:val="en-GB"/>
    </w:rPr>
  </w:style>
  <w:style w:type="character" w:customStyle="1" w:styleId="ReferencesChar">
    <w:name w:val="References Char"/>
    <w:basedOn w:val="DefaultParagraphFont"/>
    <w:link w:val="References"/>
    <w:rsid w:val="0022392C"/>
    <w:rPr>
      <w:rFonts w:ascii="Barlow" w:hAnsi="Barlow"/>
      <w:sz w:val="18"/>
      <w:szCs w:val="18"/>
      <w:lang w:val="en-GB"/>
    </w:rPr>
  </w:style>
  <w:style w:type="paragraph" w:styleId="Header">
    <w:name w:val="header"/>
    <w:basedOn w:val="Normal"/>
    <w:link w:val="HeaderChar"/>
    <w:uiPriority w:val="99"/>
    <w:unhideWhenUsed/>
    <w:rsid w:val="00514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5146DA"/>
    <w:rPr>
      <w:lang w:val="en-GB"/>
    </w:rPr>
  </w:style>
  <w:style w:type="paragraph" w:styleId="Footer">
    <w:name w:val="footer"/>
    <w:basedOn w:val="Normal"/>
    <w:link w:val="FooterChar"/>
    <w:uiPriority w:val="99"/>
    <w:unhideWhenUsed/>
    <w:rsid w:val="00514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5146DA"/>
    <w:rPr>
      <w:lang w:val="en-GB"/>
    </w:rPr>
  </w:style>
  <w:style w:type="paragraph" w:styleId="Caption">
    <w:name w:val="caption"/>
    <w:basedOn w:val="Normal"/>
    <w:next w:val="Normal"/>
    <w:uiPriority w:val="35"/>
    <w:unhideWhenUsed/>
    <w:qFormat/>
    <w:rsid w:val="006245EE"/>
    <w:pPr>
      <w:spacing w:before="240" w:after="100" w:line="276" w:lineRule="auto"/>
    </w:pPr>
    <w:rPr>
      <w:rFonts w:ascii="Plantagenet Cherokee" w:hAnsi="Plantagenet Cherokee" w:cs="Calibri"/>
      <w:b/>
      <w:i/>
      <w:color w:val="074F6A"/>
      <w:sz w:val="16"/>
      <w:szCs w:val="14"/>
    </w:rPr>
  </w:style>
  <w:style w:type="character" w:styleId="Strong">
    <w:name w:val="Strong"/>
    <w:basedOn w:val="DefaultParagraphFont"/>
    <w:uiPriority w:val="22"/>
    <w:qFormat/>
    <w:rsid w:val="002D5DB5"/>
    <w:rPr>
      <w:b/>
      <w:bCs/>
    </w:rPr>
  </w:style>
  <w:style w:type="paragraph" w:styleId="NormalWeb">
    <w:name w:val="Normal (Web)"/>
    <w:basedOn w:val="Normal"/>
    <w:uiPriority w:val="99"/>
    <w:unhideWhenUsed/>
    <w:rsid w:val="002D5DB5"/>
    <w:pPr>
      <w:spacing w:before="100" w:beforeAutospacing="1" w:after="100" w:afterAutospacing="1" w:line="240" w:lineRule="auto"/>
    </w:pPr>
    <w:rPr>
      <w:rFonts w:ascii="Times New Roman" w:eastAsia="Times New Roman" w:hAnsi="Times New Roman" w:cs="Times New Roman"/>
      <w:kern w:val="0"/>
      <w:sz w:val="24"/>
      <w:szCs w:val="24"/>
      <w:lang w:val="en-US"/>
      <w14:ligatures w14:val="none"/>
    </w:rPr>
  </w:style>
  <w:style w:type="character" w:styleId="Emphasis">
    <w:name w:val="Emphasis"/>
    <w:basedOn w:val="DefaultParagraphFont"/>
    <w:uiPriority w:val="20"/>
    <w:qFormat/>
    <w:rsid w:val="002D5DB5"/>
    <w:rPr>
      <w:i/>
      <w:iCs/>
    </w:rPr>
  </w:style>
  <w:style w:type="table" w:customStyle="1" w:styleId="LMJ">
    <w:name w:val="LMJ"/>
    <w:basedOn w:val="TableNormal"/>
    <w:uiPriority w:val="99"/>
    <w:rsid w:val="008629A6"/>
    <w:pPr>
      <w:spacing w:before="120" w:after="120" w:line="240" w:lineRule="auto"/>
    </w:pPr>
    <w:rPr>
      <w:rFonts w:ascii="Minion Pro" w:hAnsi="Minion Pro"/>
      <w:color w:val="000000" w:themeColor="text1"/>
      <w:sz w:val="16"/>
      <w14:textFill>
        <w14:gradFill>
          <w14:gsLst>
            <w14:gs w14:pos="0">
              <w14:schemeClr w14:val="tx1"/>
            </w14:gs>
            <w14:gs w14:pos="40000">
              <w14:srgbClr w14:val="004846"/>
            </w14:gs>
            <w14:gs w14:pos="68000">
              <w14:srgbClr w14:val="002A29"/>
            </w14:gs>
            <w14:gs w14:pos="100000">
              <w14:srgbClr w14:val="007370"/>
            </w14:gs>
          </w14:gsLst>
          <w14:lin w14:ang="2700000" w14:scaled="0"/>
        </w14:gradFill>
      </w14:textFill>
    </w:rPr>
    <w:tblPr>
      <w:tblStyleRowBandSize w:val="1"/>
      <w:tblStyleColBandSize w:val="1"/>
      <w:tblInd w:w="0" w:type="dxa"/>
      <w:tblBorders>
        <w:bottom w:val="single" w:sz="4" w:space="0" w:color="000000" w:themeColor="text1"/>
      </w:tblBorders>
      <w:tblCellMar>
        <w:top w:w="0" w:type="dxa"/>
        <w:left w:w="108" w:type="dxa"/>
        <w:bottom w:w="0" w:type="dxa"/>
        <w:right w:w="108" w:type="dxa"/>
      </w:tblCellMar>
    </w:tblPr>
    <w:tcPr>
      <w:shd w:val="clear" w:color="auto" w:fill="auto"/>
    </w:tcPr>
    <w:tblStylePr w:type="firstRow">
      <w:pPr>
        <w:jc w:val="left"/>
      </w:pPr>
      <w:rPr>
        <w:rFonts w:ascii="Kermit Thin Expanded" w:hAnsi="Kermit Thin Expanded"/>
        <w:b/>
        <w:color w:val="000000" w:themeColor="text1"/>
        <w:sz w:val="16"/>
        <w14:textFill>
          <w14:solidFill>
            <w14:schemeClr w14:val="tx1"/>
          </w14:solidFill>
        </w14:textFill>
      </w:rPr>
      <w:tblPr/>
      <w:tcPr>
        <w:tcBorders>
          <w:top w:val="single" w:sz="2" w:space="0" w:color="004846"/>
          <w:bottom w:val="single" w:sz="2" w:space="0" w:color="004846"/>
        </w:tcBorders>
        <w:shd w:val="clear" w:color="auto" w:fill="auto"/>
      </w:tcPr>
    </w:tblStylePr>
    <w:tblStylePr w:type="lastRow">
      <w:rPr>
        <w:rFonts w:ascii="Kermit Thin Expanded" w:hAnsi="Kermit Thin Expanded"/>
        <w:color w:val="000000" w:themeColor="text1"/>
        <w:sz w:val="16"/>
      </w:rPr>
    </w:tblStylePr>
    <w:tblStylePr w:type="firstCol">
      <w:pPr>
        <w:jc w:val="left"/>
      </w:pPr>
      <w:rPr>
        <w:rFonts w:ascii="Kermit Thin Expanded" w:hAnsi="Kermit Thin Expanded"/>
        <w:b/>
        <w:color w:val="000000" w:themeColor="text1"/>
        <w:sz w:val="16"/>
      </w:rPr>
    </w:tblStylePr>
    <w:tblStylePr w:type="lastCol">
      <w:rPr>
        <w:rFonts w:ascii="Kermit Thin Expanded" w:hAnsi="Kermit Thin Expanded"/>
        <w:color w:val="000000" w:themeColor="text1"/>
        <w:sz w:val="16"/>
      </w:rPr>
    </w:tblStylePr>
    <w:tblStylePr w:type="band1Vert">
      <w:rPr>
        <w:rFonts w:ascii="Kermit Thin Expanded" w:hAnsi="Kermit Thin Expanded"/>
        <w:color w:val="000000" w:themeColor="text1"/>
        <w:sz w:val="16"/>
      </w:rPr>
    </w:tblStylePr>
    <w:tblStylePr w:type="band2Vert">
      <w:rPr>
        <w:rFonts w:ascii="Kermit Thin Expanded" w:hAnsi="Kermit Thin Expanded"/>
        <w:color w:val="000000" w:themeColor="text1"/>
        <w:sz w:val="16"/>
      </w:rPr>
    </w:tblStylePr>
    <w:tblStylePr w:type="band1Horz">
      <w:rPr>
        <w:rFonts w:ascii="Kermit Thin Expanded" w:hAnsi="Kermit Thin Expanded"/>
        <w:color w:val="000000" w:themeColor="text1"/>
        <w:sz w:val="16"/>
      </w:rPr>
    </w:tblStylePr>
    <w:tblStylePr w:type="band2Horz">
      <w:rPr>
        <w:rFonts w:ascii="Kermit Thin Expanded" w:hAnsi="Kermit Thin Expanded"/>
        <w:color w:val="000000" w:themeColor="text1"/>
        <w:sz w:val="16"/>
      </w:rPr>
    </w:tblStylePr>
  </w:style>
  <w:style w:type="paragraph" w:customStyle="1" w:styleId="Abstract">
    <w:name w:val="Abstract"/>
    <w:basedOn w:val="NoSpacing"/>
    <w:link w:val="AbstractChar"/>
    <w:qFormat/>
    <w:rsid w:val="00B46CE3"/>
    <w:pPr>
      <w:spacing w:line="276" w:lineRule="auto"/>
      <w:jc w:val="both"/>
    </w:pPr>
    <w:rPr>
      <w:rFonts w:ascii="Minion Pro" w:hAnsi="Minion Pro" w:cs="Khmer UI"/>
      <w:i/>
      <w:iCs/>
      <w:sz w:val="16"/>
      <w:szCs w:val="18"/>
    </w:rPr>
  </w:style>
  <w:style w:type="character" w:customStyle="1" w:styleId="NoSpacingChar">
    <w:name w:val="No Spacing Char"/>
    <w:basedOn w:val="DefaultParagraphFont"/>
    <w:link w:val="NoSpacing"/>
    <w:uiPriority w:val="1"/>
    <w:rsid w:val="001677CE"/>
    <w:rPr>
      <w:lang w:val="en-GB"/>
    </w:rPr>
  </w:style>
  <w:style w:type="character" w:customStyle="1" w:styleId="AbstractChar">
    <w:name w:val="Abstract Char"/>
    <w:basedOn w:val="NoSpacingChar"/>
    <w:link w:val="Abstract"/>
    <w:rsid w:val="00B46CE3"/>
    <w:rPr>
      <w:rFonts w:ascii="Minion Pro" w:hAnsi="Minion Pro" w:cs="Khmer UI"/>
      <w:i/>
      <w:iCs/>
      <w:sz w:val="16"/>
      <w:szCs w:val="18"/>
      <w:lang w:val="en-GB"/>
    </w:rPr>
  </w:style>
  <w:style w:type="table" w:styleId="PlainTable5">
    <w:name w:val="Plain Table 5"/>
    <w:basedOn w:val="TableNormal"/>
    <w:uiPriority w:val="45"/>
    <w:rsid w:val="00CE3F53"/>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0820A1"/>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3F003B"/>
    <w:pPr>
      <w:spacing w:after="0" w:line="240" w:lineRule="auto"/>
    </w:pPr>
    <w:tblPr>
      <w:tblStyleRowBandSize w:val="1"/>
      <w:tblStyleColBandSize w:val="1"/>
      <w:tblInd w:w="0" w:type="dxa"/>
      <w:tblBorders>
        <w:top w:val="single" w:sz="4" w:space="0" w:color="EAEAEA"/>
        <w:bottom w:val="single" w:sz="4" w:space="0" w:color="EAEAEA"/>
      </w:tblBorders>
      <w:tblCellMar>
        <w:top w:w="0" w:type="dxa"/>
        <w:left w:w="108" w:type="dxa"/>
        <w:bottom w:w="0" w:type="dxa"/>
        <w:right w:w="108" w:type="dxa"/>
      </w:tblCellMar>
    </w:tblPr>
    <w:tblStylePr w:type="firstRow">
      <w:rPr>
        <w:b/>
        <w:bCs/>
      </w:rPr>
      <w:tblPr/>
      <w:tcPr>
        <w:tcBorders>
          <w:top w:val="single" w:sz="4" w:space="0" w:color="004846"/>
          <w:bottom w:val="nil"/>
        </w:tcBorders>
      </w:tcPr>
    </w:tblStylePr>
    <w:tblStylePr w:type="lastRow">
      <w:rPr>
        <w:b/>
        <w:bCs/>
      </w:rPr>
      <w:tblPr/>
      <w:tcPr>
        <w:tcBorders>
          <w:top w:val="single" w:sz="4" w:space="0" w:color="004846"/>
          <w:bottom w:val="single" w:sz="4" w:space="0" w:color="004846"/>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805C4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805C4C"/>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ListTable6Colorful">
    <w:name w:val="List Table 6 Colorful"/>
    <w:basedOn w:val="TableNormal"/>
    <w:uiPriority w:val="51"/>
    <w:rsid w:val="007B008E"/>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
    <w:name w:val="Grid Table 2"/>
    <w:basedOn w:val="TableNormal"/>
    <w:uiPriority w:val="47"/>
    <w:rsid w:val="00A6627C"/>
    <w:pPr>
      <w:spacing w:after="0" w:line="240" w:lineRule="auto"/>
    </w:p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6">
    <w:name w:val="Grid Table 2 Accent 6"/>
    <w:basedOn w:val="TableNormal"/>
    <w:uiPriority w:val="47"/>
    <w:rsid w:val="009F0970"/>
    <w:pPr>
      <w:spacing w:after="0" w:line="240" w:lineRule="auto"/>
    </w:pPr>
    <w:tblPr>
      <w:tblStyleRowBandSize w:val="1"/>
      <w:tblStyleColBandSize w:val="1"/>
      <w:tblInd w:w="0" w:type="dxa"/>
      <w:tblBorders>
        <w:top w:val="single" w:sz="2" w:space="0" w:color="8DD873" w:themeColor="accent6" w:themeTint="99"/>
        <w:bottom w:val="single" w:sz="2" w:space="0" w:color="8DD873" w:themeColor="accent6" w:themeTint="99"/>
        <w:insideH w:val="single" w:sz="2" w:space="0" w:color="8DD873" w:themeColor="accent6" w:themeTint="99"/>
        <w:insideV w:val="single" w:sz="2" w:space="0" w:color="8DD873" w:themeColor="accent6" w:themeTint="99"/>
      </w:tblBorders>
      <w:tblCellMar>
        <w:top w:w="0" w:type="dxa"/>
        <w:left w:w="108" w:type="dxa"/>
        <w:bottom w:w="0" w:type="dxa"/>
        <w:right w:w="108" w:type="dxa"/>
      </w:tblCellMar>
    </w:tblPr>
    <w:tblStylePr w:type="firstRow">
      <w:rPr>
        <w:b/>
        <w:bCs/>
      </w:rPr>
      <w:tblPr/>
      <w:tcPr>
        <w:tcBorders>
          <w:top w:val="nil"/>
          <w:bottom w:val="single" w:sz="12" w:space="0" w:color="8DD873" w:themeColor="accent6" w:themeTint="99"/>
          <w:insideH w:val="nil"/>
          <w:insideV w:val="nil"/>
        </w:tcBorders>
        <w:shd w:val="clear" w:color="auto" w:fill="FFFFFF" w:themeFill="background1"/>
      </w:tcPr>
    </w:tblStylePr>
    <w:tblStylePr w:type="lastRow">
      <w:rPr>
        <w:b/>
        <w:bCs/>
      </w:rPr>
      <w:tblPr/>
      <w:tcPr>
        <w:tcBorders>
          <w:top w:val="double" w:sz="2" w:space="0" w:color="8DD87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 w:type="table" w:styleId="GridTable3-Accent5">
    <w:name w:val="Grid Table 3 Accent 5"/>
    <w:basedOn w:val="TableNormal"/>
    <w:uiPriority w:val="48"/>
    <w:rsid w:val="009F0970"/>
    <w:pPr>
      <w:spacing w:after="0" w:line="240" w:lineRule="auto"/>
    </w:pPr>
    <w:tblPr>
      <w:tblStyleRowBandSize w:val="1"/>
      <w:tblStyleColBandSize w:val="1"/>
      <w:tblInd w:w="0" w:type="dxa"/>
      <w:tblBorders>
        <w:top w:val="single" w:sz="4" w:space="0" w:color="D86DCB" w:themeColor="accent5" w:themeTint="99"/>
        <w:left w:val="single" w:sz="4" w:space="0" w:color="D86DCB" w:themeColor="accent5" w:themeTint="99"/>
        <w:bottom w:val="single" w:sz="4" w:space="0" w:color="D86DCB" w:themeColor="accent5" w:themeTint="99"/>
        <w:right w:val="single" w:sz="4" w:space="0" w:color="D86DCB" w:themeColor="accent5" w:themeTint="99"/>
        <w:insideH w:val="single" w:sz="4" w:space="0" w:color="D86DCB" w:themeColor="accent5" w:themeTint="99"/>
        <w:insideV w:val="single" w:sz="4" w:space="0" w:color="D86DC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CEED" w:themeFill="accent5" w:themeFillTint="33"/>
      </w:tcPr>
    </w:tblStylePr>
    <w:tblStylePr w:type="band1Horz">
      <w:tblPr/>
      <w:tcPr>
        <w:shd w:val="clear" w:color="auto" w:fill="F2CEED" w:themeFill="accent5" w:themeFillTint="33"/>
      </w:tcPr>
    </w:tblStylePr>
    <w:tblStylePr w:type="neCell">
      <w:tblPr/>
      <w:tcPr>
        <w:tcBorders>
          <w:bottom w:val="single" w:sz="4" w:space="0" w:color="D86DCB" w:themeColor="accent5" w:themeTint="99"/>
        </w:tcBorders>
      </w:tcPr>
    </w:tblStylePr>
    <w:tblStylePr w:type="nwCell">
      <w:tblPr/>
      <w:tcPr>
        <w:tcBorders>
          <w:bottom w:val="single" w:sz="4" w:space="0" w:color="D86DCB" w:themeColor="accent5" w:themeTint="99"/>
        </w:tcBorders>
      </w:tcPr>
    </w:tblStylePr>
    <w:tblStylePr w:type="seCell">
      <w:tblPr/>
      <w:tcPr>
        <w:tcBorders>
          <w:top w:val="single" w:sz="4" w:space="0" w:color="D86DCB" w:themeColor="accent5" w:themeTint="99"/>
        </w:tcBorders>
      </w:tcPr>
    </w:tblStylePr>
    <w:tblStylePr w:type="swCell">
      <w:tblPr/>
      <w:tcPr>
        <w:tcBorders>
          <w:top w:val="single" w:sz="4" w:space="0" w:color="D86DCB" w:themeColor="accent5"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6197">
      <w:bodyDiv w:val="1"/>
      <w:marLeft w:val="0"/>
      <w:marRight w:val="0"/>
      <w:marTop w:val="0"/>
      <w:marBottom w:val="0"/>
      <w:divBdr>
        <w:top w:val="none" w:sz="0" w:space="0" w:color="auto"/>
        <w:left w:val="none" w:sz="0" w:space="0" w:color="auto"/>
        <w:bottom w:val="none" w:sz="0" w:space="0" w:color="auto"/>
        <w:right w:val="none" w:sz="0" w:space="0" w:color="auto"/>
      </w:divBdr>
    </w:div>
    <w:div w:id="19361219">
      <w:bodyDiv w:val="1"/>
      <w:marLeft w:val="0"/>
      <w:marRight w:val="0"/>
      <w:marTop w:val="0"/>
      <w:marBottom w:val="0"/>
      <w:divBdr>
        <w:top w:val="none" w:sz="0" w:space="0" w:color="auto"/>
        <w:left w:val="none" w:sz="0" w:space="0" w:color="auto"/>
        <w:bottom w:val="none" w:sz="0" w:space="0" w:color="auto"/>
        <w:right w:val="none" w:sz="0" w:space="0" w:color="auto"/>
      </w:divBdr>
    </w:div>
    <w:div w:id="129520680">
      <w:bodyDiv w:val="1"/>
      <w:marLeft w:val="0"/>
      <w:marRight w:val="0"/>
      <w:marTop w:val="0"/>
      <w:marBottom w:val="0"/>
      <w:divBdr>
        <w:top w:val="none" w:sz="0" w:space="0" w:color="auto"/>
        <w:left w:val="none" w:sz="0" w:space="0" w:color="auto"/>
        <w:bottom w:val="none" w:sz="0" w:space="0" w:color="auto"/>
        <w:right w:val="none" w:sz="0" w:space="0" w:color="auto"/>
      </w:divBdr>
    </w:div>
    <w:div w:id="143668701">
      <w:bodyDiv w:val="1"/>
      <w:marLeft w:val="0"/>
      <w:marRight w:val="0"/>
      <w:marTop w:val="0"/>
      <w:marBottom w:val="0"/>
      <w:divBdr>
        <w:top w:val="none" w:sz="0" w:space="0" w:color="auto"/>
        <w:left w:val="none" w:sz="0" w:space="0" w:color="auto"/>
        <w:bottom w:val="none" w:sz="0" w:space="0" w:color="auto"/>
        <w:right w:val="none" w:sz="0" w:space="0" w:color="auto"/>
      </w:divBdr>
    </w:div>
    <w:div w:id="149058619">
      <w:bodyDiv w:val="1"/>
      <w:marLeft w:val="0"/>
      <w:marRight w:val="0"/>
      <w:marTop w:val="0"/>
      <w:marBottom w:val="0"/>
      <w:divBdr>
        <w:top w:val="none" w:sz="0" w:space="0" w:color="auto"/>
        <w:left w:val="none" w:sz="0" w:space="0" w:color="auto"/>
        <w:bottom w:val="none" w:sz="0" w:space="0" w:color="auto"/>
        <w:right w:val="none" w:sz="0" w:space="0" w:color="auto"/>
      </w:divBdr>
      <w:divsChild>
        <w:div w:id="467554083">
          <w:marLeft w:val="0"/>
          <w:marRight w:val="0"/>
          <w:marTop w:val="0"/>
          <w:marBottom w:val="0"/>
          <w:divBdr>
            <w:top w:val="none" w:sz="0" w:space="0" w:color="auto"/>
            <w:left w:val="none" w:sz="0" w:space="0" w:color="auto"/>
            <w:bottom w:val="none" w:sz="0" w:space="0" w:color="auto"/>
            <w:right w:val="none" w:sz="0" w:space="0" w:color="auto"/>
          </w:divBdr>
          <w:divsChild>
            <w:div w:id="1375739450">
              <w:marLeft w:val="0"/>
              <w:marRight w:val="0"/>
              <w:marTop w:val="0"/>
              <w:marBottom w:val="0"/>
              <w:divBdr>
                <w:top w:val="none" w:sz="0" w:space="0" w:color="auto"/>
                <w:left w:val="none" w:sz="0" w:space="0" w:color="auto"/>
                <w:bottom w:val="none" w:sz="0" w:space="0" w:color="auto"/>
                <w:right w:val="none" w:sz="0" w:space="0" w:color="auto"/>
              </w:divBdr>
              <w:divsChild>
                <w:div w:id="1309477080">
                  <w:marLeft w:val="0"/>
                  <w:marRight w:val="0"/>
                  <w:marTop w:val="0"/>
                  <w:marBottom w:val="0"/>
                  <w:divBdr>
                    <w:top w:val="none" w:sz="0" w:space="0" w:color="auto"/>
                    <w:left w:val="none" w:sz="0" w:space="0" w:color="auto"/>
                    <w:bottom w:val="none" w:sz="0" w:space="0" w:color="auto"/>
                    <w:right w:val="none" w:sz="0" w:space="0" w:color="auto"/>
                  </w:divBdr>
                  <w:divsChild>
                    <w:div w:id="1079249562">
                      <w:marLeft w:val="0"/>
                      <w:marRight w:val="0"/>
                      <w:marTop w:val="0"/>
                      <w:marBottom w:val="0"/>
                      <w:divBdr>
                        <w:top w:val="none" w:sz="0" w:space="0" w:color="auto"/>
                        <w:left w:val="none" w:sz="0" w:space="0" w:color="auto"/>
                        <w:bottom w:val="none" w:sz="0" w:space="0" w:color="auto"/>
                        <w:right w:val="none" w:sz="0" w:space="0" w:color="auto"/>
                      </w:divBdr>
                      <w:divsChild>
                        <w:div w:id="1556620699">
                          <w:marLeft w:val="0"/>
                          <w:marRight w:val="0"/>
                          <w:marTop w:val="0"/>
                          <w:marBottom w:val="0"/>
                          <w:divBdr>
                            <w:top w:val="none" w:sz="0" w:space="0" w:color="auto"/>
                            <w:left w:val="none" w:sz="0" w:space="0" w:color="auto"/>
                            <w:bottom w:val="none" w:sz="0" w:space="0" w:color="auto"/>
                            <w:right w:val="none" w:sz="0" w:space="0" w:color="auto"/>
                          </w:divBdr>
                          <w:divsChild>
                            <w:div w:id="1250307091">
                              <w:marLeft w:val="0"/>
                              <w:marRight w:val="0"/>
                              <w:marTop w:val="0"/>
                              <w:marBottom w:val="0"/>
                              <w:divBdr>
                                <w:top w:val="none" w:sz="0" w:space="0" w:color="auto"/>
                                <w:left w:val="none" w:sz="0" w:space="0" w:color="auto"/>
                                <w:bottom w:val="none" w:sz="0" w:space="0" w:color="auto"/>
                                <w:right w:val="none" w:sz="0" w:space="0" w:color="auto"/>
                              </w:divBdr>
                              <w:divsChild>
                                <w:div w:id="1514341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739611">
                          <w:marLeft w:val="0"/>
                          <w:marRight w:val="0"/>
                          <w:marTop w:val="0"/>
                          <w:marBottom w:val="0"/>
                          <w:divBdr>
                            <w:top w:val="none" w:sz="0" w:space="0" w:color="auto"/>
                            <w:left w:val="none" w:sz="0" w:space="0" w:color="auto"/>
                            <w:bottom w:val="none" w:sz="0" w:space="0" w:color="auto"/>
                            <w:right w:val="none" w:sz="0" w:space="0" w:color="auto"/>
                          </w:divBdr>
                          <w:divsChild>
                            <w:div w:id="1306010566">
                              <w:marLeft w:val="0"/>
                              <w:marRight w:val="0"/>
                              <w:marTop w:val="0"/>
                              <w:marBottom w:val="0"/>
                              <w:divBdr>
                                <w:top w:val="none" w:sz="0" w:space="0" w:color="auto"/>
                                <w:left w:val="none" w:sz="0" w:space="0" w:color="auto"/>
                                <w:bottom w:val="none" w:sz="0" w:space="0" w:color="auto"/>
                                <w:right w:val="none" w:sz="0" w:space="0" w:color="auto"/>
                              </w:divBdr>
                              <w:divsChild>
                                <w:div w:id="983315542">
                                  <w:marLeft w:val="0"/>
                                  <w:marRight w:val="0"/>
                                  <w:marTop w:val="0"/>
                                  <w:marBottom w:val="0"/>
                                  <w:divBdr>
                                    <w:top w:val="none" w:sz="0" w:space="0" w:color="auto"/>
                                    <w:left w:val="none" w:sz="0" w:space="0" w:color="auto"/>
                                    <w:bottom w:val="none" w:sz="0" w:space="0" w:color="auto"/>
                                    <w:right w:val="none" w:sz="0" w:space="0" w:color="auto"/>
                                  </w:divBdr>
                                  <w:divsChild>
                                    <w:div w:id="1846018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354499">
      <w:bodyDiv w:val="1"/>
      <w:marLeft w:val="0"/>
      <w:marRight w:val="0"/>
      <w:marTop w:val="0"/>
      <w:marBottom w:val="0"/>
      <w:divBdr>
        <w:top w:val="none" w:sz="0" w:space="0" w:color="auto"/>
        <w:left w:val="none" w:sz="0" w:space="0" w:color="auto"/>
        <w:bottom w:val="none" w:sz="0" w:space="0" w:color="auto"/>
        <w:right w:val="none" w:sz="0" w:space="0" w:color="auto"/>
      </w:divBdr>
    </w:div>
    <w:div w:id="219757646">
      <w:bodyDiv w:val="1"/>
      <w:marLeft w:val="0"/>
      <w:marRight w:val="0"/>
      <w:marTop w:val="0"/>
      <w:marBottom w:val="0"/>
      <w:divBdr>
        <w:top w:val="none" w:sz="0" w:space="0" w:color="auto"/>
        <w:left w:val="none" w:sz="0" w:space="0" w:color="auto"/>
        <w:bottom w:val="none" w:sz="0" w:space="0" w:color="auto"/>
        <w:right w:val="none" w:sz="0" w:space="0" w:color="auto"/>
      </w:divBdr>
    </w:div>
    <w:div w:id="248925042">
      <w:bodyDiv w:val="1"/>
      <w:marLeft w:val="0"/>
      <w:marRight w:val="0"/>
      <w:marTop w:val="0"/>
      <w:marBottom w:val="0"/>
      <w:divBdr>
        <w:top w:val="none" w:sz="0" w:space="0" w:color="auto"/>
        <w:left w:val="none" w:sz="0" w:space="0" w:color="auto"/>
        <w:bottom w:val="none" w:sz="0" w:space="0" w:color="auto"/>
        <w:right w:val="none" w:sz="0" w:space="0" w:color="auto"/>
      </w:divBdr>
      <w:divsChild>
        <w:div w:id="1608468479">
          <w:marLeft w:val="0"/>
          <w:marRight w:val="0"/>
          <w:marTop w:val="0"/>
          <w:marBottom w:val="0"/>
          <w:divBdr>
            <w:top w:val="none" w:sz="0" w:space="0" w:color="auto"/>
            <w:left w:val="none" w:sz="0" w:space="0" w:color="auto"/>
            <w:bottom w:val="none" w:sz="0" w:space="0" w:color="auto"/>
            <w:right w:val="none" w:sz="0" w:space="0" w:color="auto"/>
          </w:divBdr>
          <w:divsChild>
            <w:div w:id="533425392">
              <w:marLeft w:val="0"/>
              <w:marRight w:val="0"/>
              <w:marTop w:val="0"/>
              <w:marBottom w:val="0"/>
              <w:divBdr>
                <w:top w:val="none" w:sz="0" w:space="0" w:color="auto"/>
                <w:left w:val="none" w:sz="0" w:space="0" w:color="auto"/>
                <w:bottom w:val="none" w:sz="0" w:space="0" w:color="auto"/>
                <w:right w:val="none" w:sz="0" w:space="0" w:color="auto"/>
              </w:divBdr>
              <w:divsChild>
                <w:div w:id="738409063">
                  <w:marLeft w:val="0"/>
                  <w:marRight w:val="0"/>
                  <w:marTop w:val="0"/>
                  <w:marBottom w:val="0"/>
                  <w:divBdr>
                    <w:top w:val="none" w:sz="0" w:space="0" w:color="auto"/>
                    <w:left w:val="none" w:sz="0" w:space="0" w:color="auto"/>
                    <w:bottom w:val="none" w:sz="0" w:space="0" w:color="auto"/>
                    <w:right w:val="none" w:sz="0" w:space="0" w:color="auto"/>
                  </w:divBdr>
                  <w:divsChild>
                    <w:div w:id="583690038">
                      <w:marLeft w:val="0"/>
                      <w:marRight w:val="0"/>
                      <w:marTop w:val="0"/>
                      <w:marBottom w:val="0"/>
                      <w:divBdr>
                        <w:top w:val="none" w:sz="0" w:space="0" w:color="auto"/>
                        <w:left w:val="none" w:sz="0" w:space="0" w:color="auto"/>
                        <w:bottom w:val="none" w:sz="0" w:space="0" w:color="auto"/>
                        <w:right w:val="none" w:sz="0" w:space="0" w:color="auto"/>
                      </w:divBdr>
                      <w:divsChild>
                        <w:div w:id="255014910">
                          <w:marLeft w:val="0"/>
                          <w:marRight w:val="0"/>
                          <w:marTop w:val="0"/>
                          <w:marBottom w:val="0"/>
                          <w:divBdr>
                            <w:top w:val="none" w:sz="0" w:space="0" w:color="auto"/>
                            <w:left w:val="none" w:sz="0" w:space="0" w:color="auto"/>
                            <w:bottom w:val="none" w:sz="0" w:space="0" w:color="auto"/>
                            <w:right w:val="none" w:sz="0" w:space="0" w:color="auto"/>
                          </w:divBdr>
                          <w:divsChild>
                            <w:div w:id="1841120388">
                              <w:marLeft w:val="0"/>
                              <w:marRight w:val="0"/>
                              <w:marTop w:val="0"/>
                              <w:marBottom w:val="0"/>
                              <w:divBdr>
                                <w:top w:val="none" w:sz="0" w:space="0" w:color="auto"/>
                                <w:left w:val="none" w:sz="0" w:space="0" w:color="auto"/>
                                <w:bottom w:val="none" w:sz="0" w:space="0" w:color="auto"/>
                                <w:right w:val="none" w:sz="0" w:space="0" w:color="auto"/>
                              </w:divBdr>
                              <w:divsChild>
                                <w:div w:id="132640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9619827">
                          <w:marLeft w:val="0"/>
                          <w:marRight w:val="0"/>
                          <w:marTop w:val="0"/>
                          <w:marBottom w:val="0"/>
                          <w:divBdr>
                            <w:top w:val="none" w:sz="0" w:space="0" w:color="auto"/>
                            <w:left w:val="none" w:sz="0" w:space="0" w:color="auto"/>
                            <w:bottom w:val="none" w:sz="0" w:space="0" w:color="auto"/>
                            <w:right w:val="none" w:sz="0" w:space="0" w:color="auto"/>
                          </w:divBdr>
                          <w:divsChild>
                            <w:div w:id="1418208225">
                              <w:marLeft w:val="0"/>
                              <w:marRight w:val="0"/>
                              <w:marTop w:val="0"/>
                              <w:marBottom w:val="0"/>
                              <w:divBdr>
                                <w:top w:val="none" w:sz="0" w:space="0" w:color="auto"/>
                                <w:left w:val="none" w:sz="0" w:space="0" w:color="auto"/>
                                <w:bottom w:val="none" w:sz="0" w:space="0" w:color="auto"/>
                                <w:right w:val="none" w:sz="0" w:space="0" w:color="auto"/>
                              </w:divBdr>
                              <w:divsChild>
                                <w:div w:id="1063870790">
                                  <w:marLeft w:val="0"/>
                                  <w:marRight w:val="0"/>
                                  <w:marTop w:val="0"/>
                                  <w:marBottom w:val="0"/>
                                  <w:divBdr>
                                    <w:top w:val="none" w:sz="0" w:space="0" w:color="auto"/>
                                    <w:left w:val="none" w:sz="0" w:space="0" w:color="auto"/>
                                    <w:bottom w:val="none" w:sz="0" w:space="0" w:color="auto"/>
                                    <w:right w:val="none" w:sz="0" w:space="0" w:color="auto"/>
                                  </w:divBdr>
                                  <w:divsChild>
                                    <w:div w:id="143316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32031581">
      <w:bodyDiv w:val="1"/>
      <w:marLeft w:val="0"/>
      <w:marRight w:val="0"/>
      <w:marTop w:val="0"/>
      <w:marBottom w:val="0"/>
      <w:divBdr>
        <w:top w:val="none" w:sz="0" w:space="0" w:color="auto"/>
        <w:left w:val="none" w:sz="0" w:space="0" w:color="auto"/>
        <w:bottom w:val="none" w:sz="0" w:space="0" w:color="auto"/>
        <w:right w:val="none" w:sz="0" w:space="0" w:color="auto"/>
      </w:divBdr>
      <w:divsChild>
        <w:div w:id="984624138">
          <w:marLeft w:val="0"/>
          <w:marRight w:val="0"/>
          <w:marTop w:val="0"/>
          <w:marBottom w:val="0"/>
          <w:divBdr>
            <w:top w:val="none" w:sz="0" w:space="0" w:color="auto"/>
            <w:left w:val="none" w:sz="0" w:space="0" w:color="auto"/>
            <w:bottom w:val="none" w:sz="0" w:space="0" w:color="auto"/>
            <w:right w:val="none" w:sz="0" w:space="0" w:color="auto"/>
          </w:divBdr>
          <w:divsChild>
            <w:div w:id="854658868">
              <w:marLeft w:val="0"/>
              <w:marRight w:val="0"/>
              <w:marTop w:val="0"/>
              <w:marBottom w:val="0"/>
              <w:divBdr>
                <w:top w:val="none" w:sz="0" w:space="0" w:color="auto"/>
                <w:left w:val="none" w:sz="0" w:space="0" w:color="auto"/>
                <w:bottom w:val="none" w:sz="0" w:space="0" w:color="auto"/>
                <w:right w:val="none" w:sz="0" w:space="0" w:color="auto"/>
              </w:divBdr>
              <w:divsChild>
                <w:div w:id="1749763021">
                  <w:marLeft w:val="0"/>
                  <w:marRight w:val="0"/>
                  <w:marTop w:val="0"/>
                  <w:marBottom w:val="0"/>
                  <w:divBdr>
                    <w:top w:val="none" w:sz="0" w:space="0" w:color="auto"/>
                    <w:left w:val="none" w:sz="0" w:space="0" w:color="auto"/>
                    <w:bottom w:val="none" w:sz="0" w:space="0" w:color="auto"/>
                    <w:right w:val="none" w:sz="0" w:space="0" w:color="auto"/>
                  </w:divBdr>
                  <w:divsChild>
                    <w:div w:id="870611429">
                      <w:marLeft w:val="0"/>
                      <w:marRight w:val="0"/>
                      <w:marTop w:val="0"/>
                      <w:marBottom w:val="0"/>
                      <w:divBdr>
                        <w:top w:val="none" w:sz="0" w:space="0" w:color="auto"/>
                        <w:left w:val="none" w:sz="0" w:space="0" w:color="auto"/>
                        <w:bottom w:val="none" w:sz="0" w:space="0" w:color="auto"/>
                        <w:right w:val="none" w:sz="0" w:space="0" w:color="auto"/>
                      </w:divBdr>
                      <w:divsChild>
                        <w:div w:id="1718121488">
                          <w:marLeft w:val="0"/>
                          <w:marRight w:val="0"/>
                          <w:marTop w:val="0"/>
                          <w:marBottom w:val="0"/>
                          <w:divBdr>
                            <w:top w:val="none" w:sz="0" w:space="0" w:color="auto"/>
                            <w:left w:val="none" w:sz="0" w:space="0" w:color="auto"/>
                            <w:bottom w:val="none" w:sz="0" w:space="0" w:color="auto"/>
                            <w:right w:val="none" w:sz="0" w:space="0" w:color="auto"/>
                          </w:divBdr>
                          <w:divsChild>
                            <w:div w:id="1774326354">
                              <w:marLeft w:val="0"/>
                              <w:marRight w:val="0"/>
                              <w:marTop w:val="0"/>
                              <w:marBottom w:val="0"/>
                              <w:divBdr>
                                <w:top w:val="none" w:sz="0" w:space="0" w:color="auto"/>
                                <w:left w:val="none" w:sz="0" w:space="0" w:color="auto"/>
                                <w:bottom w:val="none" w:sz="0" w:space="0" w:color="auto"/>
                                <w:right w:val="none" w:sz="0" w:space="0" w:color="auto"/>
                              </w:divBdr>
                              <w:divsChild>
                                <w:div w:id="1488013974">
                                  <w:marLeft w:val="0"/>
                                  <w:marRight w:val="0"/>
                                  <w:marTop w:val="0"/>
                                  <w:marBottom w:val="0"/>
                                  <w:divBdr>
                                    <w:top w:val="none" w:sz="0" w:space="0" w:color="auto"/>
                                    <w:left w:val="none" w:sz="0" w:space="0" w:color="auto"/>
                                    <w:bottom w:val="none" w:sz="0" w:space="0" w:color="auto"/>
                                    <w:right w:val="none" w:sz="0" w:space="0" w:color="auto"/>
                                  </w:divBdr>
                                  <w:divsChild>
                                    <w:div w:id="394544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91654781">
      <w:bodyDiv w:val="1"/>
      <w:marLeft w:val="0"/>
      <w:marRight w:val="0"/>
      <w:marTop w:val="0"/>
      <w:marBottom w:val="0"/>
      <w:divBdr>
        <w:top w:val="none" w:sz="0" w:space="0" w:color="auto"/>
        <w:left w:val="none" w:sz="0" w:space="0" w:color="auto"/>
        <w:bottom w:val="none" w:sz="0" w:space="0" w:color="auto"/>
        <w:right w:val="none" w:sz="0" w:space="0" w:color="auto"/>
      </w:divBdr>
      <w:divsChild>
        <w:div w:id="250509351">
          <w:marLeft w:val="0"/>
          <w:marRight w:val="0"/>
          <w:marTop w:val="0"/>
          <w:marBottom w:val="0"/>
          <w:divBdr>
            <w:top w:val="none" w:sz="0" w:space="0" w:color="auto"/>
            <w:left w:val="none" w:sz="0" w:space="0" w:color="auto"/>
            <w:bottom w:val="none" w:sz="0" w:space="0" w:color="auto"/>
            <w:right w:val="none" w:sz="0" w:space="0" w:color="auto"/>
          </w:divBdr>
          <w:divsChild>
            <w:div w:id="1652909714">
              <w:marLeft w:val="0"/>
              <w:marRight w:val="0"/>
              <w:marTop w:val="0"/>
              <w:marBottom w:val="0"/>
              <w:divBdr>
                <w:top w:val="none" w:sz="0" w:space="0" w:color="auto"/>
                <w:left w:val="none" w:sz="0" w:space="0" w:color="auto"/>
                <w:bottom w:val="none" w:sz="0" w:space="0" w:color="auto"/>
                <w:right w:val="none" w:sz="0" w:space="0" w:color="auto"/>
              </w:divBdr>
              <w:divsChild>
                <w:div w:id="162550285">
                  <w:marLeft w:val="0"/>
                  <w:marRight w:val="0"/>
                  <w:marTop w:val="0"/>
                  <w:marBottom w:val="0"/>
                  <w:divBdr>
                    <w:top w:val="none" w:sz="0" w:space="0" w:color="auto"/>
                    <w:left w:val="none" w:sz="0" w:space="0" w:color="auto"/>
                    <w:bottom w:val="none" w:sz="0" w:space="0" w:color="auto"/>
                    <w:right w:val="none" w:sz="0" w:space="0" w:color="auto"/>
                  </w:divBdr>
                  <w:divsChild>
                    <w:div w:id="809177029">
                      <w:marLeft w:val="0"/>
                      <w:marRight w:val="0"/>
                      <w:marTop w:val="0"/>
                      <w:marBottom w:val="0"/>
                      <w:divBdr>
                        <w:top w:val="none" w:sz="0" w:space="0" w:color="auto"/>
                        <w:left w:val="none" w:sz="0" w:space="0" w:color="auto"/>
                        <w:bottom w:val="none" w:sz="0" w:space="0" w:color="auto"/>
                        <w:right w:val="none" w:sz="0" w:space="0" w:color="auto"/>
                      </w:divBdr>
                      <w:divsChild>
                        <w:div w:id="1457871101">
                          <w:marLeft w:val="0"/>
                          <w:marRight w:val="0"/>
                          <w:marTop w:val="0"/>
                          <w:marBottom w:val="0"/>
                          <w:divBdr>
                            <w:top w:val="none" w:sz="0" w:space="0" w:color="auto"/>
                            <w:left w:val="none" w:sz="0" w:space="0" w:color="auto"/>
                            <w:bottom w:val="none" w:sz="0" w:space="0" w:color="auto"/>
                            <w:right w:val="none" w:sz="0" w:space="0" w:color="auto"/>
                          </w:divBdr>
                          <w:divsChild>
                            <w:div w:id="1758096554">
                              <w:marLeft w:val="0"/>
                              <w:marRight w:val="0"/>
                              <w:marTop w:val="0"/>
                              <w:marBottom w:val="0"/>
                              <w:divBdr>
                                <w:top w:val="none" w:sz="0" w:space="0" w:color="auto"/>
                                <w:left w:val="none" w:sz="0" w:space="0" w:color="auto"/>
                                <w:bottom w:val="none" w:sz="0" w:space="0" w:color="auto"/>
                                <w:right w:val="none" w:sz="0" w:space="0" w:color="auto"/>
                              </w:divBdr>
                              <w:divsChild>
                                <w:div w:id="928973486">
                                  <w:marLeft w:val="0"/>
                                  <w:marRight w:val="0"/>
                                  <w:marTop w:val="0"/>
                                  <w:marBottom w:val="0"/>
                                  <w:divBdr>
                                    <w:top w:val="none" w:sz="0" w:space="0" w:color="auto"/>
                                    <w:left w:val="none" w:sz="0" w:space="0" w:color="auto"/>
                                    <w:bottom w:val="none" w:sz="0" w:space="0" w:color="auto"/>
                                    <w:right w:val="none" w:sz="0" w:space="0" w:color="auto"/>
                                  </w:divBdr>
                                  <w:divsChild>
                                    <w:div w:id="1384017339">
                                      <w:marLeft w:val="0"/>
                                      <w:marRight w:val="0"/>
                                      <w:marTop w:val="0"/>
                                      <w:marBottom w:val="0"/>
                                      <w:divBdr>
                                        <w:top w:val="none" w:sz="0" w:space="0" w:color="auto"/>
                                        <w:left w:val="none" w:sz="0" w:space="0" w:color="auto"/>
                                        <w:bottom w:val="none" w:sz="0" w:space="0" w:color="auto"/>
                                        <w:right w:val="none" w:sz="0" w:space="0" w:color="auto"/>
                                      </w:divBdr>
                                      <w:divsChild>
                                        <w:div w:id="78521675">
                                          <w:marLeft w:val="0"/>
                                          <w:marRight w:val="0"/>
                                          <w:marTop w:val="0"/>
                                          <w:marBottom w:val="0"/>
                                          <w:divBdr>
                                            <w:top w:val="none" w:sz="0" w:space="0" w:color="auto"/>
                                            <w:left w:val="none" w:sz="0" w:space="0" w:color="auto"/>
                                            <w:bottom w:val="none" w:sz="0" w:space="0" w:color="auto"/>
                                            <w:right w:val="none" w:sz="0" w:space="0" w:color="auto"/>
                                          </w:divBdr>
                                        </w:div>
                                        <w:div w:id="308871481">
                                          <w:marLeft w:val="0"/>
                                          <w:marRight w:val="0"/>
                                          <w:marTop w:val="0"/>
                                          <w:marBottom w:val="0"/>
                                          <w:divBdr>
                                            <w:top w:val="none" w:sz="0" w:space="0" w:color="auto"/>
                                            <w:left w:val="none" w:sz="0" w:space="0" w:color="auto"/>
                                            <w:bottom w:val="none" w:sz="0" w:space="0" w:color="auto"/>
                                            <w:right w:val="none" w:sz="0" w:space="0" w:color="auto"/>
                                          </w:divBdr>
                                        </w:div>
                                        <w:div w:id="874855161">
                                          <w:marLeft w:val="0"/>
                                          <w:marRight w:val="0"/>
                                          <w:marTop w:val="0"/>
                                          <w:marBottom w:val="0"/>
                                          <w:divBdr>
                                            <w:top w:val="none" w:sz="0" w:space="0" w:color="auto"/>
                                            <w:left w:val="none" w:sz="0" w:space="0" w:color="auto"/>
                                            <w:bottom w:val="none" w:sz="0" w:space="0" w:color="auto"/>
                                            <w:right w:val="none" w:sz="0" w:space="0" w:color="auto"/>
                                          </w:divBdr>
                                        </w:div>
                                        <w:div w:id="981234602">
                                          <w:marLeft w:val="0"/>
                                          <w:marRight w:val="0"/>
                                          <w:marTop w:val="0"/>
                                          <w:marBottom w:val="0"/>
                                          <w:divBdr>
                                            <w:top w:val="none" w:sz="0" w:space="0" w:color="auto"/>
                                            <w:left w:val="none" w:sz="0" w:space="0" w:color="auto"/>
                                            <w:bottom w:val="none" w:sz="0" w:space="0" w:color="auto"/>
                                            <w:right w:val="none" w:sz="0" w:space="0" w:color="auto"/>
                                          </w:divBdr>
                                        </w:div>
                                        <w:div w:id="175003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197310">
                          <w:marLeft w:val="0"/>
                          <w:marRight w:val="0"/>
                          <w:marTop w:val="0"/>
                          <w:marBottom w:val="0"/>
                          <w:divBdr>
                            <w:top w:val="none" w:sz="0" w:space="0" w:color="auto"/>
                            <w:left w:val="none" w:sz="0" w:space="0" w:color="auto"/>
                            <w:bottom w:val="none" w:sz="0" w:space="0" w:color="auto"/>
                            <w:right w:val="none" w:sz="0" w:space="0" w:color="auto"/>
                          </w:divBdr>
                          <w:divsChild>
                            <w:div w:id="65491854">
                              <w:marLeft w:val="0"/>
                              <w:marRight w:val="0"/>
                              <w:marTop w:val="0"/>
                              <w:marBottom w:val="0"/>
                              <w:divBdr>
                                <w:top w:val="none" w:sz="0" w:space="0" w:color="auto"/>
                                <w:left w:val="none" w:sz="0" w:space="0" w:color="auto"/>
                                <w:bottom w:val="none" w:sz="0" w:space="0" w:color="auto"/>
                                <w:right w:val="none" w:sz="0" w:space="0" w:color="auto"/>
                              </w:divBdr>
                              <w:divsChild>
                                <w:div w:id="21242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3232854">
      <w:bodyDiv w:val="1"/>
      <w:marLeft w:val="0"/>
      <w:marRight w:val="0"/>
      <w:marTop w:val="0"/>
      <w:marBottom w:val="0"/>
      <w:divBdr>
        <w:top w:val="none" w:sz="0" w:space="0" w:color="auto"/>
        <w:left w:val="none" w:sz="0" w:space="0" w:color="auto"/>
        <w:bottom w:val="none" w:sz="0" w:space="0" w:color="auto"/>
        <w:right w:val="none" w:sz="0" w:space="0" w:color="auto"/>
      </w:divBdr>
      <w:divsChild>
        <w:div w:id="12363609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45390471">
      <w:bodyDiv w:val="1"/>
      <w:marLeft w:val="0"/>
      <w:marRight w:val="0"/>
      <w:marTop w:val="0"/>
      <w:marBottom w:val="0"/>
      <w:divBdr>
        <w:top w:val="none" w:sz="0" w:space="0" w:color="auto"/>
        <w:left w:val="none" w:sz="0" w:space="0" w:color="auto"/>
        <w:bottom w:val="none" w:sz="0" w:space="0" w:color="auto"/>
        <w:right w:val="none" w:sz="0" w:space="0" w:color="auto"/>
      </w:divBdr>
    </w:div>
    <w:div w:id="455947118">
      <w:bodyDiv w:val="1"/>
      <w:marLeft w:val="0"/>
      <w:marRight w:val="0"/>
      <w:marTop w:val="0"/>
      <w:marBottom w:val="0"/>
      <w:divBdr>
        <w:top w:val="none" w:sz="0" w:space="0" w:color="auto"/>
        <w:left w:val="none" w:sz="0" w:space="0" w:color="auto"/>
        <w:bottom w:val="none" w:sz="0" w:space="0" w:color="auto"/>
        <w:right w:val="none" w:sz="0" w:space="0" w:color="auto"/>
      </w:divBdr>
    </w:div>
    <w:div w:id="468940335">
      <w:bodyDiv w:val="1"/>
      <w:marLeft w:val="0"/>
      <w:marRight w:val="0"/>
      <w:marTop w:val="0"/>
      <w:marBottom w:val="0"/>
      <w:divBdr>
        <w:top w:val="none" w:sz="0" w:space="0" w:color="auto"/>
        <w:left w:val="none" w:sz="0" w:space="0" w:color="auto"/>
        <w:bottom w:val="none" w:sz="0" w:space="0" w:color="auto"/>
        <w:right w:val="none" w:sz="0" w:space="0" w:color="auto"/>
      </w:divBdr>
      <w:divsChild>
        <w:div w:id="636229237">
          <w:marLeft w:val="0"/>
          <w:marRight w:val="0"/>
          <w:marTop w:val="0"/>
          <w:marBottom w:val="0"/>
          <w:divBdr>
            <w:top w:val="none" w:sz="0" w:space="0" w:color="auto"/>
            <w:left w:val="none" w:sz="0" w:space="0" w:color="auto"/>
            <w:bottom w:val="none" w:sz="0" w:space="0" w:color="auto"/>
            <w:right w:val="none" w:sz="0" w:space="0" w:color="auto"/>
          </w:divBdr>
          <w:divsChild>
            <w:div w:id="907307563">
              <w:marLeft w:val="0"/>
              <w:marRight w:val="0"/>
              <w:marTop w:val="0"/>
              <w:marBottom w:val="0"/>
              <w:divBdr>
                <w:top w:val="none" w:sz="0" w:space="0" w:color="auto"/>
                <w:left w:val="none" w:sz="0" w:space="0" w:color="auto"/>
                <w:bottom w:val="none" w:sz="0" w:space="0" w:color="auto"/>
                <w:right w:val="none" w:sz="0" w:space="0" w:color="auto"/>
              </w:divBdr>
              <w:divsChild>
                <w:div w:id="515507378">
                  <w:marLeft w:val="0"/>
                  <w:marRight w:val="0"/>
                  <w:marTop w:val="0"/>
                  <w:marBottom w:val="0"/>
                  <w:divBdr>
                    <w:top w:val="none" w:sz="0" w:space="0" w:color="auto"/>
                    <w:left w:val="none" w:sz="0" w:space="0" w:color="auto"/>
                    <w:bottom w:val="none" w:sz="0" w:space="0" w:color="auto"/>
                    <w:right w:val="none" w:sz="0" w:space="0" w:color="auto"/>
                  </w:divBdr>
                  <w:divsChild>
                    <w:div w:id="697632249">
                      <w:marLeft w:val="0"/>
                      <w:marRight w:val="0"/>
                      <w:marTop w:val="0"/>
                      <w:marBottom w:val="0"/>
                      <w:divBdr>
                        <w:top w:val="none" w:sz="0" w:space="0" w:color="auto"/>
                        <w:left w:val="none" w:sz="0" w:space="0" w:color="auto"/>
                        <w:bottom w:val="none" w:sz="0" w:space="0" w:color="auto"/>
                        <w:right w:val="none" w:sz="0" w:space="0" w:color="auto"/>
                      </w:divBdr>
                      <w:divsChild>
                        <w:div w:id="181087733">
                          <w:marLeft w:val="0"/>
                          <w:marRight w:val="0"/>
                          <w:marTop w:val="0"/>
                          <w:marBottom w:val="0"/>
                          <w:divBdr>
                            <w:top w:val="none" w:sz="0" w:space="0" w:color="auto"/>
                            <w:left w:val="none" w:sz="0" w:space="0" w:color="auto"/>
                            <w:bottom w:val="none" w:sz="0" w:space="0" w:color="auto"/>
                            <w:right w:val="none" w:sz="0" w:space="0" w:color="auto"/>
                          </w:divBdr>
                          <w:divsChild>
                            <w:div w:id="475220620">
                              <w:marLeft w:val="0"/>
                              <w:marRight w:val="0"/>
                              <w:marTop w:val="0"/>
                              <w:marBottom w:val="0"/>
                              <w:divBdr>
                                <w:top w:val="none" w:sz="0" w:space="0" w:color="auto"/>
                                <w:left w:val="none" w:sz="0" w:space="0" w:color="auto"/>
                                <w:bottom w:val="none" w:sz="0" w:space="0" w:color="auto"/>
                                <w:right w:val="none" w:sz="0" w:space="0" w:color="auto"/>
                              </w:divBdr>
                              <w:divsChild>
                                <w:div w:id="104230033">
                                  <w:marLeft w:val="0"/>
                                  <w:marRight w:val="0"/>
                                  <w:marTop w:val="0"/>
                                  <w:marBottom w:val="0"/>
                                  <w:divBdr>
                                    <w:top w:val="none" w:sz="0" w:space="0" w:color="auto"/>
                                    <w:left w:val="none" w:sz="0" w:space="0" w:color="auto"/>
                                    <w:bottom w:val="none" w:sz="0" w:space="0" w:color="auto"/>
                                    <w:right w:val="none" w:sz="0" w:space="0" w:color="auto"/>
                                  </w:divBdr>
                                  <w:divsChild>
                                    <w:div w:id="65544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4378013">
                          <w:marLeft w:val="0"/>
                          <w:marRight w:val="0"/>
                          <w:marTop w:val="0"/>
                          <w:marBottom w:val="0"/>
                          <w:divBdr>
                            <w:top w:val="none" w:sz="0" w:space="0" w:color="auto"/>
                            <w:left w:val="none" w:sz="0" w:space="0" w:color="auto"/>
                            <w:bottom w:val="none" w:sz="0" w:space="0" w:color="auto"/>
                            <w:right w:val="none" w:sz="0" w:space="0" w:color="auto"/>
                          </w:divBdr>
                          <w:divsChild>
                            <w:div w:id="629822391">
                              <w:marLeft w:val="0"/>
                              <w:marRight w:val="0"/>
                              <w:marTop w:val="0"/>
                              <w:marBottom w:val="0"/>
                              <w:divBdr>
                                <w:top w:val="none" w:sz="0" w:space="0" w:color="auto"/>
                                <w:left w:val="none" w:sz="0" w:space="0" w:color="auto"/>
                                <w:bottom w:val="none" w:sz="0" w:space="0" w:color="auto"/>
                                <w:right w:val="none" w:sz="0" w:space="0" w:color="auto"/>
                              </w:divBdr>
                              <w:divsChild>
                                <w:div w:id="75085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75025796">
      <w:bodyDiv w:val="1"/>
      <w:marLeft w:val="0"/>
      <w:marRight w:val="0"/>
      <w:marTop w:val="0"/>
      <w:marBottom w:val="0"/>
      <w:divBdr>
        <w:top w:val="none" w:sz="0" w:space="0" w:color="auto"/>
        <w:left w:val="none" w:sz="0" w:space="0" w:color="auto"/>
        <w:bottom w:val="none" w:sz="0" w:space="0" w:color="auto"/>
        <w:right w:val="none" w:sz="0" w:space="0" w:color="auto"/>
      </w:divBdr>
      <w:divsChild>
        <w:div w:id="530806192">
          <w:marLeft w:val="0"/>
          <w:marRight w:val="0"/>
          <w:marTop w:val="0"/>
          <w:marBottom w:val="0"/>
          <w:divBdr>
            <w:top w:val="none" w:sz="0" w:space="0" w:color="auto"/>
            <w:left w:val="none" w:sz="0" w:space="0" w:color="auto"/>
            <w:bottom w:val="none" w:sz="0" w:space="0" w:color="auto"/>
            <w:right w:val="none" w:sz="0" w:space="0" w:color="auto"/>
          </w:divBdr>
          <w:divsChild>
            <w:div w:id="125983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3374935">
      <w:bodyDiv w:val="1"/>
      <w:marLeft w:val="0"/>
      <w:marRight w:val="0"/>
      <w:marTop w:val="0"/>
      <w:marBottom w:val="0"/>
      <w:divBdr>
        <w:top w:val="none" w:sz="0" w:space="0" w:color="auto"/>
        <w:left w:val="none" w:sz="0" w:space="0" w:color="auto"/>
        <w:bottom w:val="none" w:sz="0" w:space="0" w:color="auto"/>
        <w:right w:val="none" w:sz="0" w:space="0" w:color="auto"/>
      </w:divBdr>
      <w:divsChild>
        <w:div w:id="103770560">
          <w:marLeft w:val="0"/>
          <w:marRight w:val="0"/>
          <w:marTop w:val="0"/>
          <w:marBottom w:val="0"/>
          <w:divBdr>
            <w:top w:val="single" w:sz="2" w:space="0" w:color="auto"/>
            <w:left w:val="single" w:sz="2" w:space="0" w:color="auto"/>
            <w:bottom w:val="single" w:sz="2" w:space="0" w:color="auto"/>
            <w:right w:val="single" w:sz="2" w:space="0" w:color="auto"/>
          </w:divBdr>
          <w:divsChild>
            <w:div w:id="1872956897">
              <w:marLeft w:val="0"/>
              <w:marRight w:val="0"/>
              <w:marTop w:val="0"/>
              <w:marBottom w:val="0"/>
              <w:divBdr>
                <w:top w:val="single" w:sz="2" w:space="0" w:color="auto"/>
                <w:left w:val="single" w:sz="2" w:space="0" w:color="auto"/>
                <w:bottom w:val="single" w:sz="2" w:space="0" w:color="auto"/>
                <w:right w:val="single" w:sz="2" w:space="0" w:color="auto"/>
              </w:divBdr>
              <w:divsChild>
                <w:div w:id="1898709208">
                  <w:marLeft w:val="0"/>
                  <w:marRight w:val="0"/>
                  <w:marTop w:val="0"/>
                  <w:marBottom w:val="0"/>
                  <w:divBdr>
                    <w:top w:val="single" w:sz="2" w:space="0" w:color="auto"/>
                    <w:left w:val="single" w:sz="2" w:space="0" w:color="auto"/>
                    <w:bottom w:val="single" w:sz="2" w:space="0" w:color="auto"/>
                    <w:right w:val="single" w:sz="2" w:space="0" w:color="auto"/>
                  </w:divBdr>
                  <w:divsChild>
                    <w:div w:id="891845850">
                      <w:marLeft w:val="0"/>
                      <w:marRight w:val="0"/>
                      <w:marTop w:val="0"/>
                      <w:marBottom w:val="0"/>
                      <w:divBdr>
                        <w:top w:val="single" w:sz="2" w:space="0" w:color="auto"/>
                        <w:left w:val="single" w:sz="2" w:space="0" w:color="auto"/>
                        <w:bottom w:val="single" w:sz="2" w:space="0" w:color="auto"/>
                        <w:right w:val="single" w:sz="2" w:space="0" w:color="auto"/>
                      </w:divBdr>
                      <w:divsChild>
                        <w:div w:id="520434943">
                          <w:marLeft w:val="0"/>
                          <w:marRight w:val="0"/>
                          <w:marTop w:val="0"/>
                          <w:marBottom w:val="0"/>
                          <w:divBdr>
                            <w:top w:val="single" w:sz="2" w:space="0" w:color="auto"/>
                            <w:left w:val="single" w:sz="2" w:space="0" w:color="auto"/>
                            <w:bottom w:val="single" w:sz="2" w:space="0" w:color="auto"/>
                            <w:right w:val="single" w:sz="2" w:space="0" w:color="auto"/>
                          </w:divBdr>
                          <w:divsChild>
                            <w:div w:id="378553590">
                              <w:marLeft w:val="0"/>
                              <w:marRight w:val="0"/>
                              <w:marTop w:val="0"/>
                              <w:marBottom w:val="0"/>
                              <w:divBdr>
                                <w:top w:val="single" w:sz="2" w:space="0" w:color="auto"/>
                                <w:left w:val="single" w:sz="2" w:space="0" w:color="auto"/>
                                <w:bottom w:val="single" w:sz="2" w:space="0" w:color="auto"/>
                                <w:right w:val="single" w:sz="2" w:space="0" w:color="auto"/>
                              </w:divBdr>
                              <w:divsChild>
                                <w:div w:id="1996831819">
                                  <w:marLeft w:val="0"/>
                                  <w:marRight w:val="0"/>
                                  <w:marTop w:val="0"/>
                                  <w:marBottom w:val="0"/>
                                  <w:divBdr>
                                    <w:top w:val="single" w:sz="2" w:space="2" w:color="auto"/>
                                    <w:left w:val="single" w:sz="2" w:space="0" w:color="auto"/>
                                    <w:bottom w:val="single" w:sz="2" w:space="0" w:color="auto"/>
                                    <w:right w:val="single" w:sz="2" w:space="0" w:color="auto"/>
                                  </w:divBdr>
                                  <w:divsChild>
                                    <w:div w:id="28076860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560360347">
      <w:bodyDiv w:val="1"/>
      <w:marLeft w:val="0"/>
      <w:marRight w:val="0"/>
      <w:marTop w:val="0"/>
      <w:marBottom w:val="0"/>
      <w:divBdr>
        <w:top w:val="none" w:sz="0" w:space="0" w:color="auto"/>
        <w:left w:val="none" w:sz="0" w:space="0" w:color="auto"/>
        <w:bottom w:val="none" w:sz="0" w:space="0" w:color="auto"/>
        <w:right w:val="none" w:sz="0" w:space="0" w:color="auto"/>
      </w:divBdr>
    </w:div>
    <w:div w:id="572200602">
      <w:bodyDiv w:val="1"/>
      <w:marLeft w:val="0"/>
      <w:marRight w:val="0"/>
      <w:marTop w:val="0"/>
      <w:marBottom w:val="0"/>
      <w:divBdr>
        <w:top w:val="none" w:sz="0" w:space="0" w:color="auto"/>
        <w:left w:val="none" w:sz="0" w:space="0" w:color="auto"/>
        <w:bottom w:val="none" w:sz="0" w:space="0" w:color="auto"/>
        <w:right w:val="none" w:sz="0" w:space="0" w:color="auto"/>
      </w:divBdr>
      <w:divsChild>
        <w:div w:id="1915823331">
          <w:marLeft w:val="0"/>
          <w:marRight w:val="0"/>
          <w:marTop w:val="0"/>
          <w:marBottom w:val="0"/>
          <w:divBdr>
            <w:top w:val="none" w:sz="0" w:space="0" w:color="auto"/>
            <w:left w:val="none" w:sz="0" w:space="0" w:color="auto"/>
            <w:bottom w:val="none" w:sz="0" w:space="0" w:color="auto"/>
            <w:right w:val="none" w:sz="0" w:space="0" w:color="auto"/>
          </w:divBdr>
          <w:divsChild>
            <w:div w:id="485164906">
              <w:marLeft w:val="0"/>
              <w:marRight w:val="0"/>
              <w:marTop w:val="0"/>
              <w:marBottom w:val="0"/>
              <w:divBdr>
                <w:top w:val="none" w:sz="0" w:space="0" w:color="auto"/>
                <w:left w:val="none" w:sz="0" w:space="0" w:color="auto"/>
                <w:bottom w:val="none" w:sz="0" w:space="0" w:color="auto"/>
                <w:right w:val="none" w:sz="0" w:space="0" w:color="auto"/>
              </w:divBdr>
              <w:divsChild>
                <w:div w:id="2139713074">
                  <w:marLeft w:val="0"/>
                  <w:marRight w:val="0"/>
                  <w:marTop w:val="0"/>
                  <w:marBottom w:val="0"/>
                  <w:divBdr>
                    <w:top w:val="none" w:sz="0" w:space="0" w:color="auto"/>
                    <w:left w:val="none" w:sz="0" w:space="0" w:color="auto"/>
                    <w:bottom w:val="none" w:sz="0" w:space="0" w:color="auto"/>
                    <w:right w:val="none" w:sz="0" w:space="0" w:color="auto"/>
                  </w:divBdr>
                  <w:divsChild>
                    <w:div w:id="183684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6988602">
      <w:bodyDiv w:val="1"/>
      <w:marLeft w:val="0"/>
      <w:marRight w:val="0"/>
      <w:marTop w:val="0"/>
      <w:marBottom w:val="0"/>
      <w:divBdr>
        <w:top w:val="none" w:sz="0" w:space="0" w:color="auto"/>
        <w:left w:val="none" w:sz="0" w:space="0" w:color="auto"/>
        <w:bottom w:val="none" w:sz="0" w:space="0" w:color="auto"/>
        <w:right w:val="none" w:sz="0" w:space="0" w:color="auto"/>
      </w:divBdr>
      <w:divsChild>
        <w:div w:id="482503408">
          <w:marLeft w:val="0"/>
          <w:marRight w:val="0"/>
          <w:marTop w:val="0"/>
          <w:marBottom w:val="0"/>
          <w:divBdr>
            <w:top w:val="none" w:sz="0" w:space="0" w:color="auto"/>
            <w:left w:val="none" w:sz="0" w:space="0" w:color="auto"/>
            <w:bottom w:val="none" w:sz="0" w:space="0" w:color="auto"/>
            <w:right w:val="none" w:sz="0" w:space="0" w:color="auto"/>
          </w:divBdr>
          <w:divsChild>
            <w:div w:id="1749843380">
              <w:marLeft w:val="0"/>
              <w:marRight w:val="0"/>
              <w:marTop w:val="0"/>
              <w:marBottom w:val="0"/>
              <w:divBdr>
                <w:top w:val="none" w:sz="0" w:space="0" w:color="auto"/>
                <w:left w:val="none" w:sz="0" w:space="0" w:color="auto"/>
                <w:bottom w:val="none" w:sz="0" w:space="0" w:color="auto"/>
                <w:right w:val="none" w:sz="0" w:space="0" w:color="auto"/>
              </w:divBdr>
              <w:divsChild>
                <w:div w:id="1515614012">
                  <w:marLeft w:val="0"/>
                  <w:marRight w:val="0"/>
                  <w:marTop w:val="0"/>
                  <w:marBottom w:val="0"/>
                  <w:divBdr>
                    <w:top w:val="none" w:sz="0" w:space="0" w:color="auto"/>
                    <w:left w:val="none" w:sz="0" w:space="0" w:color="auto"/>
                    <w:bottom w:val="none" w:sz="0" w:space="0" w:color="auto"/>
                    <w:right w:val="none" w:sz="0" w:space="0" w:color="auto"/>
                  </w:divBdr>
                  <w:divsChild>
                    <w:div w:id="1984506331">
                      <w:marLeft w:val="0"/>
                      <w:marRight w:val="0"/>
                      <w:marTop w:val="0"/>
                      <w:marBottom w:val="0"/>
                      <w:divBdr>
                        <w:top w:val="none" w:sz="0" w:space="0" w:color="auto"/>
                        <w:left w:val="none" w:sz="0" w:space="0" w:color="auto"/>
                        <w:bottom w:val="none" w:sz="0" w:space="0" w:color="auto"/>
                        <w:right w:val="none" w:sz="0" w:space="0" w:color="auto"/>
                      </w:divBdr>
                      <w:divsChild>
                        <w:div w:id="1250428318">
                          <w:marLeft w:val="0"/>
                          <w:marRight w:val="0"/>
                          <w:marTop w:val="0"/>
                          <w:marBottom w:val="0"/>
                          <w:divBdr>
                            <w:top w:val="none" w:sz="0" w:space="0" w:color="auto"/>
                            <w:left w:val="none" w:sz="0" w:space="0" w:color="auto"/>
                            <w:bottom w:val="none" w:sz="0" w:space="0" w:color="auto"/>
                            <w:right w:val="none" w:sz="0" w:space="0" w:color="auto"/>
                          </w:divBdr>
                          <w:divsChild>
                            <w:div w:id="2125464802">
                              <w:marLeft w:val="0"/>
                              <w:marRight w:val="0"/>
                              <w:marTop w:val="0"/>
                              <w:marBottom w:val="0"/>
                              <w:divBdr>
                                <w:top w:val="none" w:sz="0" w:space="0" w:color="auto"/>
                                <w:left w:val="none" w:sz="0" w:space="0" w:color="auto"/>
                                <w:bottom w:val="none" w:sz="0" w:space="0" w:color="auto"/>
                                <w:right w:val="none" w:sz="0" w:space="0" w:color="auto"/>
                              </w:divBdr>
                              <w:divsChild>
                                <w:div w:id="140460620">
                                  <w:marLeft w:val="0"/>
                                  <w:marRight w:val="0"/>
                                  <w:marTop w:val="0"/>
                                  <w:marBottom w:val="0"/>
                                  <w:divBdr>
                                    <w:top w:val="none" w:sz="0" w:space="0" w:color="auto"/>
                                    <w:left w:val="none" w:sz="0" w:space="0" w:color="auto"/>
                                    <w:bottom w:val="none" w:sz="0" w:space="0" w:color="auto"/>
                                    <w:right w:val="none" w:sz="0" w:space="0" w:color="auto"/>
                                  </w:divBdr>
                                  <w:divsChild>
                                    <w:div w:id="20290617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185599">
                          <w:marLeft w:val="0"/>
                          <w:marRight w:val="0"/>
                          <w:marTop w:val="0"/>
                          <w:marBottom w:val="0"/>
                          <w:divBdr>
                            <w:top w:val="none" w:sz="0" w:space="0" w:color="auto"/>
                            <w:left w:val="none" w:sz="0" w:space="0" w:color="auto"/>
                            <w:bottom w:val="none" w:sz="0" w:space="0" w:color="auto"/>
                            <w:right w:val="none" w:sz="0" w:space="0" w:color="auto"/>
                          </w:divBdr>
                          <w:divsChild>
                            <w:div w:id="1158886015">
                              <w:marLeft w:val="0"/>
                              <w:marRight w:val="0"/>
                              <w:marTop w:val="0"/>
                              <w:marBottom w:val="0"/>
                              <w:divBdr>
                                <w:top w:val="none" w:sz="0" w:space="0" w:color="auto"/>
                                <w:left w:val="none" w:sz="0" w:space="0" w:color="auto"/>
                                <w:bottom w:val="none" w:sz="0" w:space="0" w:color="auto"/>
                                <w:right w:val="none" w:sz="0" w:space="0" w:color="auto"/>
                              </w:divBdr>
                              <w:divsChild>
                                <w:div w:id="328798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99995696">
      <w:bodyDiv w:val="1"/>
      <w:marLeft w:val="0"/>
      <w:marRight w:val="0"/>
      <w:marTop w:val="0"/>
      <w:marBottom w:val="0"/>
      <w:divBdr>
        <w:top w:val="none" w:sz="0" w:space="0" w:color="auto"/>
        <w:left w:val="none" w:sz="0" w:space="0" w:color="auto"/>
        <w:bottom w:val="none" w:sz="0" w:space="0" w:color="auto"/>
        <w:right w:val="none" w:sz="0" w:space="0" w:color="auto"/>
      </w:divBdr>
      <w:divsChild>
        <w:div w:id="1092042777">
          <w:marLeft w:val="0"/>
          <w:marRight w:val="0"/>
          <w:marTop w:val="0"/>
          <w:marBottom w:val="0"/>
          <w:divBdr>
            <w:top w:val="none" w:sz="0" w:space="0" w:color="auto"/>
            <w:left w:val="none" w:sz="0" w:space="0" w:color="auto"/>
            <w:bottom w:val="none" w:sz="0" w:space="0" w:color="auto"/>
            <w:right w:val="none" w:sz="0" w:space="0" w:color="auto"/>
          </w:divBdr>
          <w:divsChild>
            <w:div w:id="157858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3102100">
      <w:bodyDiv w:val="1"/>
      <w:marLeft w:val="0"/>
      <w:marRight w:val="0"/>
      <w:marTop w:val="0"/>
      <w:marBottom w:val="0"/>
      <w:divBdr>
        <w:top w:val="none" w:sz="0" w:space="0" w:color="auto"/>
        <w:left w:val="none" w:sz="0" w:space="0" w:color="auto"/>
        <w:bottom w:val="none" w:sz="0" w:space="0" w:color="auto"/>
        <w:right w:val="none" w:sz="0" w:space="0" w:color="auto"/>
      </w:divBdr>
      <w:divsChild>
        <w:div w:id="1498114076">
          <w:marLeft w:val="0"/>
          <w:marRight w:val="0"/>
          <w:marTop w:val="0"/>
          <w:marBottom w:val="0"/>
          <w:divBdr>
            <w:top w:val="none" w:sz="0" w:space="0" w:color="auto"/>
            <w:left w:val="none" w:sz="0" w:space="0" w:color="auto"/>
            <w:bottom w:val="none" w:sz="0" w:space="0" w:color="auto"/>
            <w:right w:val="none" w:sz="0" w:space="0" w:color="auto"/>
          </w:divBdr>
          <w:divsChild>
            <w:div w:id="625741914">
              <w:marLeft w:val="0"/>
              <w:marRight w:val="0"/>
              <w:marTop w:val="0"/>
              <w:marBottom w:val="0"/>
              <w:divBdr>
                <w:top w:val="none" w:sz="0" w:space="0" w:color="auto"/>
                <w:left w:val="none" w:sz="0" w:space="0" w:color="auto"/>
                <w:bottom w:val="none" w:sz="0" w:space="0" w:color="auto"/>
                <w:right w:val="none" w:sz="0" w:space="0" w:color="auto"/>
              </w:divBdr>
              <w:divsChild>
                <w:div w:id="1250579997">
                  <w:marLeft w:val="0"/>
                  <w:marRight w:val="0"/>
                  <w:marTop w:val="0"/>
                  <w:marBottom w:val="0"/>
                  <w:divBdr>
                    <w:top w:val="none" w:sz="0" w:space="0" w:color="auto"/>
                    <w:left w:val="none" w:sz="0" w:space="0" w:color="auto"/>
                    <w:bottom w:val="none" w:sz="0" w:space="0" w:color="auto"/>
                    <w:right w:val="none" w:sz="0" w:space="0" w:color="auto"/>
                  </w:divBdr>
                  <w:divsChild>
                    <w:div w:id="2104646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3389016">
      <w:bodyDiv w:val="1"/>
      <w:marLeft w:val="0"/>
      <w:marRight w:val="0"/>
      <w:marTop w:val="0"/>
      <w:marBottom w:val="0"/>
      <w:divBdr>
        <w:top w:val="none" w:sz="0" w:space="0" w:color="auto"/>
        <w:left w:val="none" w:sz="0" w:space="0" w:color="auto"/>
        <w:bottom w:val="none" w:sz="0" w:space="0" w:color="auto"/>
        <w:right w:val="none" w:sz="0" w:space="0" w:color="auto"/>
      </w:divBdr>
      <w:divsChild>
        <w:div w:id="417823020">
          <w:marLeft w:val="0"/>
          <w:marRight w:val="0"/>
          <w:marTop w:val="0"/>
          <w:marBottom w:val="0"/>
          <w:divBdr>
            <w:top w:val="none" w:sz="0" w:space="0" w:color="auto"/>
            <w:left w:val="none" w:sz="0" w:space="0" w:color="auto"/>
            <w:bottom w:val="none" w:sz="0" w:space="0" w:color="auto"/>
            <w:right w:val="none" w:sz="0" w:space="0" w:color="auto"/>
          </w:divBdr>
          <w:divsChild>
            <w:div w:id="1527937643">
              <w:marLeft w:val="0"/>
              <w:marRight w:val="0"/>
              <w:marTop w:val="0"/>
              <w:marBottom w:val="0"/>
              <w:divBdr>
                <w:top w:val="none" w:sz="0" w:space="0" w:color="auto"/>
                <w:left w:val="none" w:sz="0" w:space="0" w:color="auto"/>
                <w:bottom w:val="none" w:sz="0" w:space="0" w:color="auto"/>
                <w:right w:val="none" w:sz="0" w:space="0" w:color="auto"/>
              </w:divBdr>
              <w:divsChild>
                <w:div w:id="1495341227">
                  <w:marLeft w:val="0"/>
                  <w:marRight w:val="0"/>
                  <w:marTop w:val="0"/>
                  <w:marBottom w:val="0"/>
                  <w:divBdr>
                    <w:top w:val="none" w:sz="0" w:space="0" w:color="auto"/>
                    <w:left w:val="none" w:sz="0" w:space="0" w:color="auto"/>
                    <w:bottom w:val="none" w:sz="0" w:space="0" w:color="auto"/>
                    <w:right w:val="none" w:sz="0" w:space="0" w:color="auto"/>
                  </w:divBdr>
                  <w:divsChild>
                    <w:div w:id="1484733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2369495">
      <w:bodyDiv w:val="1"/>
      <w:marLeft w:val="0"/>
      <w:marRight w:val="0"/>
      <w:marTop w:val="0"/>
      <w:marBottom w:val="0"/>
      <w:divBdr>
        <w:top w:val="none" w:sz="0" w:space="0" w:color="auto"/>
        <w:left w:val="none" w:sz="0" w:space="0" w:color="auto"/>
        <w:bottom w:val="none" w:sz="0" w:space="0" w:color="auto"/>
        <w:right w:val="none" w:sz="0" w:space="0" w:color="auto"/>
      </w:divBdr>
      <w:divsChild>
        <w:div w:id="855460320">
          <w:marLeft w:val="0"/>
          <w:marRight w:val="0"/>
          <w:marTop w:val="0"/>
          <w:marBottom w:val="0"/>
          <w:divBdr>
            <w:top w:val="none" w:sz="0" w:space="0" w:color="auto"/>
            <w:left w:val="none" w:sz="0" w:space="0" w:color="auto"/>
            <w:bottom w:val="none" w:sz="0" w:space="0" w:color="auto"/>
            <w:right w:val="none" w:sz="0" w:space="0" w:color="auto"/>
          </w:divBdr>
          <w:divsChild>
            <w:div w:id="377359225">
              <w:marLeft w:val="0"/>
              <w:marRight w:val="0"/>
              <w:marTop w:val="0"/>
              <w:marBottom w:val="0"/>
              <w:divBdr>
                <w:top w:val="none" w:sz="0" w:space="0" w:color="auto"/>
                <w:left w:val="none" w:sz="0" w:space="0" w:color="auto"/>
                <w:bottom w:val="none" w:sz="0" w:space="0" w:color="auto"/>
                <w:right w:val="none" w:sz="0" w:space="0" w:color="auto"/>
              </w:divBdr>
              <w:divsChild>
                <w:div w:id="41490297">
                  <w:marLeft w:val="0"/>
                  <w:marRight w:val="0"/>
                  <w:marTop w:val="0"/>
                  <w:marBottom w:val="0"/>
                  <w:divBdr>
                    <w:top w:val="none" w:sz="0" w:space="0" w:color="auto"/>
                    <w:left w:val="none" w:sz="0" w:space="0" w:color="auto"/>
                    <w:bottom w:val="none" w:sz="0" w:space="0" w:color="auto"/>
                    <w:right w:val="none" w:sz="0" w:space="0" w:color="auto"/>
                  </w:divBdr>
                  <w:divsChild>
                    <w:div w:id="1135947099">
                      <w:marLeft w:val="0"/>
                      <w:marRight w:val="0"/>
                      <w:marTop w:val="0"/>
                      <w:marBottom w:val="0"/>
                      <w:divBdr>
                        <w:top w:val="none" w:sz="0" w:space="0" w:color="auto"/>
                        <w:left w:val="none" w:sz="0" w:space="0" w:color="auto"/>
                        <w:bottom w:val="none" w:sz="0" w:space="0" w:color="auto"/>
                        <w:right w:val="none" w:sz="0" w:space="0" w:color="auto"/>
                      </w:divBdr>
                      <w:divsChild>
                        <w:div w:id="39669540">
                          <w:marLeft w:val="0"/>
                          <w:marRight w:val="0"/>
                          <w:marTop w:val="0"/>
                          <w:marBottom w:val="0"/>
                          <w:divBdr>
                            <w:top w:val="none" w:sz="0" w:space="0" w:color="auto"/>
                            <w:left w:val="none" w:sz="0" w:space="0" w:color="auto"/>
                            <w:bottom w:val="none" w:sz="0" w:space="0" w:color="auto"/>
                            <w:right w:val="none" w:sz="0" w:space="0" w:color="auto"/>
                          </w:divBdr>
                          <w:divsChild>
                            <w:div w:id="606229617">
                              <w:marLeft w:val="0"/>
                              <w:marRight w:val="0"/>
                              <w:marTop w:val="0"/>
                              <w:marBottom w:val="0"/>
                              <w:divBdr>
                                <w:top w:val="none" w:sz="0" w:space="0" w:color="auto"/>
                                <w:left w:val="none" w:sz="0" w:space="0" w:color="auto"/>
                                <w:bottom w:val="none" w:sz="0" w:space="0" w:color="auto"/>
                                <w:right w:val="none" w:sz="0" w:space="0" w:color="auto"/>
                              </w:divBdr>
                              <w:divsChild>
                                <w:div w:id="1080298634">
                                  <w:marLeft w:val="0"/>
                                  <w:marRight w:val="0"/>
                                  <w:marTop w:val="0"/>
                                  <w:marBottom w:val="0"/>
                                  <w:divBdr>
                                    <w:top w:val="none" w:sz="0" w:space="0" w:color="auto"/>
                                    <w:left w:val="none" w:sz="0" w:space="0" w:color="auto"/>
                                    <w:bottom w:val="none" w:sz="0" w:space="0" w:color="auto"/>
                                    <w:right w:val="none" w:sz="0" w:space="0" w:color="auto"/>
                                  </w:divBdr>
                                  <w:divsChild>
                                    <w:div w:id="1634671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845924">
                          <w:marLeft w:val="0"/>
                          <w:marRight w:val="0"/>
                          <w:marTop w:val="0"/>
                          <w:marBottom w:val="0"/>
                          <w:divBdr>
                            <w:top w:val="none" w:sz="0" w:space="0" w:color="auto"/>
                            <w:left w:val="none" w:sz="0" w:space="0" w:color="auto"/>
                            <w:bottom w:val="none" w:sz="0" w:space="0" w:color="auto"/>
                            <w:right w:val="none" w:sz="0" w:space="0" w:color="auto"/>
                          </w:divBdr>
                          <w:divsChild>
                            <w:div w:id="1211528626">
                              <w:marLeft w:val="0"/>
                              <w:marRight w:val="0"/>
                              <w:marTop w:val="0"/>
                              <w:marBottom w:val="0"/>
                              <w:divBdr>
                                <w:top w:val="none" w:sz="0" w:space="0" w:color="auto"/>
                                <w:left w:val="none" w:sz="0" w:space="0" w:color="auto"/>
                                <w:bottom w:val="none" w:sz="0" w:space="0" w:color="auto"/>
                                <w:right w:val="none" w:sz="0" w:space="0" w:color="auto"/>
                              </w:divBdr>
                              <w:divsChild>
                                <w:div w:id="787088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7971269">
      <w:bodyDiv w:val="1"/>
      <w:marLeft w:val="0"/>
      <w:marRight w:val="0"/>
      <w:marTop w:val="0"/>
      <w:marBottom w:val="0"/>
      <w:divBdr>
        <w:top w:val="none" w:sz="0" w:space="0" w:color="auto"/>
        <w:left w:val="none" w:sz="0" w:space="0" w:color="auto"/>
        <w:bottom w:val="none" w:sz="0" w:space="0" w:color="auto"/>
        <w:right w:val="none" w:sz="0" w:space="0" w:color="auto"/>
      </w:divBdr>
      <w:divsChild>
        <w:div w:id="1765764451">
          <w:marLeft w:val="0"/>
          <w:marRight w:val="0"/>
          <w:marTop w:val="0"/>
          <w:marBottom w:val="0"/>
          <w:divBdr>
            <w:top w:val="none" w:sz="0" w:space="0" w:color="auto"/>
            <w:left w:val="none" w:sz="0" w:space="0" w:color="auto"/>
            <w:bottom w:val="none" w:sz="0" w:space="0" w:color="auto"/>
            <w:right w:val="none" w:sz="0" w:space="0" w:color="auto"/>
          </w:divBdr>
          <w:divsChild>
            <w:div w:id="240456101">
              <w:marLeft w:val="0"/>
              <w:marRight w:val="0"/>
              <w:marTop w:val="0"/>
              <w:marBottom w:val="0"/>
              <w:divBdr>
                <w:top w:val="none" w:sz="0" w:space="0" w:color="auto"/>
                <w:left w:val="none" w:sz="0" w:space="0" w:color="auto"/>
                <w:bottom w:val="none" w:sz="0" w:space="0" w:color="auto"/>
                <w:right w:val="none" w:sz="0" w:space="0" w:color="auto"/>
              </w:divBdr>
              <w:divsChild>
                <w:div w:id="89738613">
                  <w:marLeft w:val="0"/>
                  <w:marRight w:val="0"/>
                  <w:marTop w:val="0"/>
                  <w:marBottom w:val="0"/>
                  <w:divBdr>
                    <w:top w:val="none" w:sz="0" w:space="0" w:color="auto"/>
                    <w:left w:val="none" w:sz="0" w:space="0" w:color="auto"/>
                    <w:bottom w:val="none" w:sz="0" w:space="0" w:color="auto"/>
                    <w:right w:val="none" w:sz="0" w:space="0" w:color="auto"/>
                  </w:divBdr>
                  <w:divsChild>
                    <w:div w:id="946037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1974790">
      <w:bodyDiv w:val="1"/>
      <w:marLeft w:val="0"/>
      <w:marRight w:val="0"/>
      <w:marTop w:val="0"/>
      <w:marBottom w:val="0"/>
      <w:divBdr>
        <w:top w:val="none" w:sz="0" w:space="0" w:color="auto"/>
        <w:left w:val="none" w:sz="0" w:space="0" w:color="auto"/>
        <w:bottom w:val="none" w:sz="0" w:space="0" w:color="auto"/>
        <w:right w:val="none" w:sz="0" w:space="0" w:color="auto"/>
      </w:divBdr>
    </w:div>
    <w:div w:id="748311320">
      <w:bodyDiv w:val="1"/>
      <w:marLeft w:val="0"/>
      <w:marRight w:val="0"/>
      <w:marTop w:val="0"/>
      <w:marBottom w:val="0"/>
      <w:divBdr>
        <w:top w:val="none" w:sz="0" w:space="0" w:color="auto"/>
        <w:left w:val="none" w:sz="0" w:space="0" w:color="auto"/>
        <w:bottom w:val="none" w:sz="0" w:space="0" w:color="auto"/>
        <w:right w:val="none" w:sz="0" w:space="0" w:color="auto"/>
      </w:divBdr>
      <w:divsChild>
        <w:div w:id="589462178">
          <w:marLeft w:val="0"/>
          <w:marRight w:val="0"/>
          <w:marTop w:val="0"/>
          <w:marBottom w:val="0"/>
          <w:divBdr>
            <w:top w:val="none" w:sz="0" w:space="0" w:color="auto"/>
            <w:left w:val="none" w:sz="0" w:space="0" w:color="auto"/>
            <w:bottom w:val="none" w:sz="0" w:space="0" w:color="auto"/>
            <w:right w:val="none" w:sz="0" w:space="0" w:color="auto"/>
          </w:divBdr>
          <w:divsChild>
            <w:div w:id="612981440">
              <w:marLeft w:val="0"/>
              <w:marRight w:val="0"/>
              <w:marTop w:val="0"/>
              <w:marBottom w:val="0"/>
              <w:divBdr>
                <w:top w:val="none" w:sz="0" w:space="0" w:color="auto"/>
                <w:left w:val="none" w:sz="0" w:space="0" w:color="auto"/>
                <w:bottom w:val="none" w:sz="0" w:space="0" w:color="auto"/>
                <w:right w:val="none" w:sz="0" w:space="0" w:color="auto"/>
              </w:divBdr>
            </w:div>
          </w:divsChild>
        </w:div>
        <w:div w:id="892042397">
          <w:marLeft w:val="0"/>
          <w:marRight w:val="0"/>
          <w:marTop w:val="0"/>
          <w:marBottom w:val="0"/>
          <w:divBdr>
            <w:top w:val="none" w:sz="0" w:space="0" w:color="auto"/>
            <w:left w:val="none" w:sz="0" w:space="0" w:color="auto"/>
            <w:bottom w:val="none" w:sz="0" w:space="0" w:color="auto"/>
            <w:right w:val="none" w:sz="0" w:space="0" w:color="auto"/>
          </w:divBdr>
          <w:divsChild>
            <w:div w:id="543834345">
              <w:marLeft w:val="0"/>
              <w:marRight w:val="0"/>
              <w:marTop w:val="0"/>
              <w:marBottom w:val="0"/>
              <w:divBdr>
                <w:top w:val="none" w:sz="0" w:space="0" w:color="auto"/>
                <w:left w:val="none" w:sz="0" w:space="0" w:color="auto"/>
                <w:bottom w:val="none" w:sz="0" w:space="0" w:color="auto"/>
                <w:right w:val="none" w:sz="0" w:space="0" w:color="auto"/>
              </w:divBdr>
            </w:div>
          </w:divsChild>
        </w:div>
        <w:div w:id="1256476772">
          <w:marLeft w:val="0"/>
          <w:marRight w:val="0"/>
          <w:marTop w:val="0"/>
          <w:marBottom w:val="0"/>
          <w:divBdr>
            <w:top w:val="none" w:sz="0" w:space="0" w:color="auto"/>
            <w:left w:val="none" w:sz="0" w:space="0" w:color="auto"/>
            <w:bottom w:val="none" w:sz="0" w:space="0" w:color="auto"/>
            <w:right w:val="none" w:sz="0" w:space="0" w:color="auto"/>
          </w:divBdr>
          <w:divsChild>
            <w:div w:id="646906418">
              <w:marLeft w:val="0"/>
              <w:marRight w:val="0"/>
              <w:marTop w:val="0"/>
              <w:marBottom w:val="0"/>
              <w:divBdr>
                <w:top w:val="none" w:sz="0" w:space="0" w:color="auto"/>
                <w:left w:val="none" w:sz="0" w:space="0" w:color="auto"/>
                <w:bottom w:val="none" w:sz="0" w:space="0" w:color="auto"/>
                <w:right w:val="none" w:sz="0" w:space="0" w:color="auto"/>
              </w:divBdr>
            </w:div>
          </w:divsChild>
        </w:div>
        <w:div w:id="1452474389">
          <w:marLeft w:val="0"/>
          <w:marRight w:val="0"/>
          <w:marTop w:val="0"/>
          <w:marBottom w:val="0"/>
          <w:divBdr>
            <w:top w:val="none" w:sz="0" w:space="0" w:color="auto"/>
            <w:left w:val="none" w:sz="0" w:space="0" w:color="auto"/>
            <w:bottom w:val="none" w:sz="0" w:space="0" w:color="auto"/>
            <w:right w:val="none" w:sz="0" w:space="0" w:color="auto"/>
          </w:divBdr>
          <w:divsChild>
            <w:div w:id="1203520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741286">
      <w:bodyDiv w:val="1"/>
      <w:marLeft w:val="0"/>
      <w:marRight w:val="0"/>
      <w:marTop w:val="0"/>
      <w:marBottom w:val="0"/>
      <w:divBdr>
        <w:top w:val="none" w:sz="0" w:space="0" w:color="auto"/>
        <w:left w:val="none" w:sz="0" w:space="0" w:color="auto"/>
        <w:bottom w:val="none" w:sz="0" w:space="0" w:color="auto"/>
        <w:right w:val="none" w:sz="0" w:space="0" w:color="auto"/>
      </w:divBdr>
      <w:divsChild>
        <w:div w:id="1564365424">
          <w:marLeft w:val="0"/>
          <w:marRight w:val="0"/>
          <w:marTop w:val="0"/>
          <w:marBottom w:val="0"/>
          <w:divBdr>
            <w:top w:val="none" w:sz="0" w:space="0" w:color="auto"/>
            <w:left w:val="none" w:sz="0" w:space="0" w:color="auto"/>
            <w:bottom w:val="none" w:sz="0" w:space="0" w:color="auto"/>
            <w:right w:val="none" w:sz="0" w:space="0" w:color="auto"/>
          </w:divBdr>
          <w:divsChild>
            <w:div w:id="462308876">
              <w:marLeft w:val="0"/>
              <w:marRight w:val="0"/>
              <w:marTop w:val="0"/>
              <w:marBottom w:val="0"/>
              <w:divBdr>
                <w:top w:val="none" w:sz="0" w:space="0" w:color="auto"/>
                <w:left w:val="none" w:sz="0" w:space="0" w:color="auto"/>
                <w:bottom w:val="none" w:sz="0" w:space="0" w:color="auto"/>
                <w:right w:val="none" w:sz="0" w:space="0" w:color="auto"/>
              </w:divBdr>
              <w:divsChild>
                <w:div w:id="1287345595">
                  <w:marLeft w:val="0"/>
                  <w:marRight w:val="0"/>
                  <w:marTop w:val="0"/>
                  <w:marBottom w:val="0"/>
                  <w:divBdr>
                    <w:top w:val="none" w:sz="0" w:space="0" w:color="auto"/>
                    <w:left w:val="none" w:sz="0" w:space="0" w:color="auto"/>
                    <w:bottom w:val="none" w:sz="0" w:space="0" w:color="auto"/>
                    <w:right w:val="none" w:sz="0" w:space="0" w:color="auto"/>
                  </w:divBdr>
                  <w:divsChild>
                    <w:div w:id="1640107695">
                      <w:marLeft w:val="0"/>
                      <w:marRight w:val="0"/>
                      <w:marTop w:val="0"/>
                      <w:marBottom w:val="0"/>
                      <w:divBdr>
                        <w:top w:val="none" w:sz="0" w:space="0" w:color="auto"/>
                        <w:left w:val="none" w:sz="0" w:space="0" w:color="auto"/>
                        <w:bottom w:val="none" w:sz="0" w:space="0" w:color="auto"/>
                        <w:right w:val="none" w:sz="0" w:space="0" w:color="auto"/>
                      </w:divBdr>
                      <w:divsChild>
                        <w:div w:id="172260699">
                          <w:marLeft w:val="0"/>
                          <w:marRight w:val="0"/>
                          <w:marTop w:val="0"/>
                          <w:marBottom w:val="0"/>
                          <w:divBdr>
                            <w:top w:val="none" w:sz="0" w:space="0" w:color="auto"/>
                            <w:left w:val="none" w:sz="0" w:space="0" w:color="auto"/>
                            <w:bottom w:val="none" w:sz="0" w:space="0" w:color="auto"/>
                            <w:right w:val="none" w:sz="0" w:space="0" w:color="auto"/>
                          </w:divBdr>
                          <w:divsChild>
                            <w:div w:id="101999183">
                              <w:marLeft w:val="0"/>
                              <w:marRight w:val="0"/>
                              <w:marTop w:val="0"/>
                              <w:marBottom w:val="0"/>
                              <w:divBdr>
                                <w:top w:val="none" w:sz="0" w:space="0" w:color="auto"/>
                                <w:left w:val="none" w:sz="0" w:space="0" w:color="auto"/>
                                <w:bottom w:val="none" w:sz="0" w:space="0" w:color="auto"/>
                                <w:right w:val="none" w:sz="0" w:space="0" w:color="auto"/>
                              </w:divBdr>
                              <w:divsChild>
                                <w:div w:id="1265530244">
                                  <w:marLeft w:val="0"/>
                                  <w:marRight w:val="0"/>
                                  <w:marTop w:val="0"/>
                                  <w:marBottom w:val="0"/>
                                  <w:divBdr>
                                    <w:top w:val="none" w:sz="0" w:space="0" w:color="auto"/>
                                    <w:left w:val="none" w:sz="0" w:space="0" w:color="auto"/>
                                    <w:bottom w:val="none" w:sz="0" w:space="0" w:color="auto"/>
                                    <w:right w:val="none" w:sz="0" w:space="0" w:color="auto"/>
                                  </w:divBdr>
                                  <w:divsChild>
                                    <w:div w:id="1723366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040766">
                          <w:marLeft w:val="0"/>
                          <w:marRight w:val="0"/>
                          <w:marTop w:val="0"/>
                          <w:marBottom w:val="0"/>
                          <w:divBdr>
                            <w:top w:val="none" w:sz="0" w:space="0" w:color="auto"/>
                            <w:left w:val="none" w:sz="0" w:space="0" w:color="auto"/>
                            <w:bottom w:val="none" w:sz="0" w:space="0" w:color="auto"/>
                            <w:right w:val="none" w:sz="0" w:space="0" w:color="auto"/>
                          </w:divBdr>
                          <w:divsChild>
                            <w:div w:id="1828739994">
                              <w:marLeft w:val="0"/>
                              <w:marRight w:val="0"/>
                              <w:marTop w:val="0"/>
                              <w:marBottom w:val="0"/>
                              <w:divBdr>
                                <w:top w:val="none" w:sz="0" w:space="0" w:color="auto"/>
                                <w:left w:val="none" w:sz="0" w:space="0" w:color="auto"/>
                                <w:bottom w:val="none" w:sz="0" w:space="0" w:color="auto"/>
                                <w:right w:val="none" w:sz="0" w:space="0" w:color="auto"/>
                              </w:divBdr>
                              <w:divsChild>
                                <w:div w:id="124440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85462745">
      <w:bodyDiv w:val="1"/>
      <w:marLeft w:val="0"/>
      <w:marRight w:val="0"/>
      <w:marTop w:val="0"/>
      <w:marBottom w:val="0"/>
      <w:divBdr>
        <w:top w:val="none" w:sz="0" w:space="0" w:color="auto"/>
        <w:left w:val="none" w:sz="0" w:space="0" w:color="auto"/>
        <w:bottom w:val="none" w:sz="0" w:space="0" w:color="auto"/>
        <w:right w:val="none" w:sz="0" w:space="0" w:color="auto"/>
      </w:divBdr>
      <w:divsChild>
        <w:div w:id="1614628556">
          <w:marLeft w:val="0"/>
          <w:marRight w:val="0"/>
          <w:marTop w:val="0"/>
          <w:marBottom w:val="0"/>
          <w:divBdr>
            <w:top w:val="none" w:sz="0" w:space="0" w:color="auto"/>
            <w:left w:val="none" w:sz="0" w:space="0" w:color="auto"/>
            <w:bottom w:val="none" w:sz="0" w:space="0" w:color="auto"/>
            <w:right w:val="none" w:sz="0" w:space="0" w:color="auto"/>
          </w:divBdr>
          <w:divsChild>
            <w:div w:id="506216465">
              <w:marLeft w:val="0"/>
              <w:marRight w:val="0"/>
              <w:marTop w:val="0"/>
              <w:marBottom w:val="0"/>
              <w:divBdr>
                <w:top w:val="none" w:sz="0" w:space="0" w:color="auto"/>
                <w:left w:val="none" w:sz="0" w:space="0" w:color="auto"/>
                <w:bottom w:val="none" w:sz="0" w:space="0" w:color="auto"/>
                <w:right w:val="none" w:sz="0" w:space="0" w:color="auto"/>
              </w:divBdr>
              <w:divsChild>
                <w:div w:id="852187516">
                  <w:marLeft w:val="0"/>
                  <w:marRight w:val="0"/>
                  <w:marTop w:val="0"/>
                  <w:marBottom w:val="0"/>
                  <w:divBdr>
                    <w:top w:val="none" w:sz="0" w:space="0" w:color="auto"/>
                    <w:left w:val="none" w:sz="0" w:space="0" w:color="auto"/>
                    <w:bottom w:val="none" w:sz="0" w:space="0" w:color="auto"/>
                    <w:right w:val="none" w:sz="0" w:space="0" w:color="auto"/>
                  </w:divBdr>
                  <w:divsChild>
                    <w:div w:id="1245146718">
                      <w:marLeft w:val="0"/>
                      <w:marRight w:val="0"/>
                      <w:marTop w:val="0"/>
                      <w:marBottom w:val="0"/>
                      <w:divBdr>
                        <w:top w:val="none" w:sz="0" w:space="0" w:color="auto"/>
                        <w:left w:val="none" w:sz="0" w:space="0" w:color="auto"/>
                        <w:bottom w:val="none" w:sz="0" w:space="0" w:color="auto"/>
                        <w:right w:val="none" w:sz="0" w:space="0" w:color="auto"/>
                      </w:divBdr>
                      <w:divsChild>
                        <w:div w:id="370956880">
                          <w:marLeft w:val="0"/>
                          <w:marRight w:val="0"/>
                          <w:marTop w:val="0"/>
                          <w:marBottom w:val="0"/>
                          <w:divBdr>
                            <w:top w:val="none" w:sz="0" w:space="0" w:color="auto"/>
                            <w:left w:val="none" w:sz="0" w:space="0" w:color="auto"/>
                            <w:bottom w:val="none" w:sz="0" w:space="0" w:color="auto"/>
                            <w:right w:val="none" w:sz="0" w:space="0" w:color="auto"/>
                          </w:divBdr>
                          <w:divsChild>
                            <w:div w:id="551043747">
                              <w:marLeft w:val="0"/>
                              <w:marRight w:val="0"/>
                              <w:marTop w:val="0"/>
                              <w:marBottom w:val="0"/>
                              <w:divBdr>
                                <w:top w:val="none" w:sz="0" w:space="0" w:color="auto"/>
                                <w:left w:val="none" w:sz="0" w:space="0" w:color="auto"/>
                                <w:bottom w:val="none" w:sz="0" w:space="0" w:color="auto"/>
                                <w:right w:val="none" w:sz="0" w:space="0" w:color="auto"/>
                              </w:divBdr>
                              <w:divsChild>
                                <w:div w:id="740178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07342">
                          <w:marLeft w:val="0"/>
                          <w:marRight w:val="0"/>
                          <w:marTop w:val="0"/>
                          <w:marBottom w:val="0"/>
                          <w:divBdr>
                            <w:top w:val="none" w:sz="0" w:space="0" w:color="auto"/>
                            <w:left w:val="none" w:sz="0" w:space="0" w:color="auto"/>
                            <w:bottom w:val="none" w:sz="0" w:space="0" w:color="auto"/>
                            <w:right w:val="none" w:sz="0" w:space="0" w:color="auto"/>
                          </w:divBdr>
                          <w:divsChild>
                            <w:div w:id="530530119">
                              <w:marLeft w:val="0"/>
                              <w:marRight w:val="0"/>
                              <w:marTop w:val="0"/>
                              <w:marBottom w:val="0"/>
                              <w:divBdr>
                                <w:top w:val="none" w:sz="0" w:space="0" w:color="auto"/>
                                <w:left w:val="none" w:sz="0" w:space="0" w:color="auto"/>
                                <w:bottom w:val="none" w:sz="0" w:space="0" w:color="auto"/>
                                <w:right w:val="none" w:sz="0" w:space="0" w:color="auto"/>
                              </w:divBdr>
                              <w:divsChild>
                                <w:div w:id="1182357100">
                                  <w:marLeft w:val="0"/>
                                  <w:marRight w:val="0"/>
                                  <w:marTop w:val="0"/>
                                  <w:marBottom w:val="0"/>
                                  <w:divBdr>
                                    <w:top w:val="none" w:sz="0" w:space="0" w:color="auto"/>
                                    <w:left w:val="none" w:sz="0" w:space="0" w:color="auto"/>
                                    <w:bottom w:val="none" w:sz="0" w:space="0" w:color="auto"/>
                                    <w:right w:val="none" w:sz="0" w:space="0" w:color="auto"/>
                                  </w:divBdr>
                                  <w:divsChild>
                                    <w:div w:id="136663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2598949">
      <w:bodyDiv w:val="1"/>
      <w:marLeft w:val="0"/>
      <w:marRight w:val="0"/>
      <w:marTop w:val="0"/>
      <w:marBottom w:val="0"/>
      <w:divBdr>
        <w:top w:val="none" w:sz="0" w:space="0" w:color="auto"/>
        <w:left w:val="none" w:sz="0" w:space="0" w:color="auto"/>
        <w:bottom w:val="none" w:sz="0" w:space="0" w:color="auto"/>
        <w:right w:val="none" w:sz="0" w:space="0" w:color="auto"/>
      </w:divBdr>
    </w:div>
    <w:div w:id="815147816">
      <w:bodyDiv w:val="1"/>
      <w:marLeft w:val="0"/>
      <w:marRight w:val="0"/>
      <w:marTop w:val="0"/>
      <w:marBottom w:val="0"/>
      <w:divBdr>
        <w:top w:val="none" w:sz="0" w:space="0" w:color="auto"/>
        <w:left w:val="none" w:sz="0" w:space="0" w:color="auto"/>
        <w:bottom w:val="none" w:sz="0" w:space="0" w:color="auto"/>
        <w:right w:val="none" w:sz="0" w:space="0" w:color="auto"/>
      </w:divBdr>
    </w:div>
    <w:div w:id="831799002">
      <w:bodyDiv w:val="1"/>
      <w:marLeft w:val="0"/>
      <w:marRight w:val="0"/>
      <w:marTop w:val="0"/>
      <w:marBottom w:val="0"/>
      <w:divBdr>
        <w:top w:val="none" w:sz="0" w:space="0" w:color="auto"/>
        <w:left w:val="none" w:sz="0" w:space="0" w:color="auto"/>
        <w:bottom w:val="none" w:sz="0" w:space="0" w:color="auto"/>
        <w:right w:val="none" w:sz="0" w:space="0" w:color="auto"/>
      </w:divBdr>
      <w:divsChild>
        <w:div w:id="1879930472">
          <w:marLeft w:val="0"/>
          <w:marRight w:val="0"/>
          <w:marTop w:val="0"/>
          <w:marBottom w:val="0"/>
          <w:divBdr>
            <w:top w:val="none" w:sz="0" w:space="0" w:color="auto"/>
            <w:left w:val="none" w:sz="0" w:space="0" w:color="auto"/>
            <w:bottom w:val="none" w:sz="0" w:space="0" w:color="auto"/>
            <w:right w:val="none" w:sz="0" w:space="0" w:color="auto"/>
          </w:divBdr>
          <w:divsChild>
            <w:div w:id="597107110">
              <w:marLeft w:val="0"/>
              <w:marRight w:val="0"/>
              <w:marTop w:val="0"/>
              <w:marBottom w:val="0"/>
              <w:divBdr>
                <w:top w:val="none" w:sz="0" w:space="0" w:color="auto"/>
                <w:left w:val="none" w:sz="0" w:space="0" w:color="auto"/>
                <w:bottom w:val="none" w:sz="0" w:space="0" w:color="auto"/>
                <w:right w:val="none" w:sz="0" w:space="0" w:color="auto"/>
              </w:divBdr>
              <w:divsChild>
                <w:div w:id="1690909761">
                  <w:marLeft w:val="0"/>
                  <w:marRight w:val="0"/>
                  <w:marTop w:val="0"/>
                  <w:marBottom w:val="0"/>
                  <w:divBdr>
                    <w:top w:val="none" w:sz="0" w:space="0" w:color="auto"/>
                    <w:left w:val="none" w:sz="0" w:space="0" w:color="auto"/>
                    <w:bottom w:val="none" w:sz="0" w:space="0" w:color="auto"/>
                    <w:right w:val="none" w:sz="0" w:space="0" w:color="auto"/>
                  </w:divBdr>
                  <w:divsChild>
                    <w:div w:id="74700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8785781">
      <w:bodyDiv w:val="1"/>
      <w:marLeft w:val="0"/>
      <w:marRight w:val="0"/>
      <w:marTop w:val="0"/>
      <w:marBottom w:val="0"/>
      <w:divBdr>
        <w:top w:val="none" w:sz="0" w:space="0" w:color="auto"/>
        <w:left w:val="none" w:sz="0" w:space="0" w:color="auto"/>
        <w:bottom w:val="none" w:sz="0" w:space="0" w:color="auto"/>
        <w:right w:val="none" w:sz="0" w:space="0" w:color="auto"/>
      </w:divBdr>
      <w:divsChild>
        <w:div w:id="2091581868">
          <w:marLeft w:val="0"/>
          <w:marRight w:val="0"/>
          <w:marTop w:val="0"/>
          <w:marBottom w:val="0"/>
          <w:divBdr>
            <w:top w:val="none" w:sz="0" w:space="0" w:color="auto"/>
            <w:left w:val="none" w:sz="0" w:space="0" w:color="auto"/>
            <w:bottom w:val="none" w:sz="0" w:space="0" w:color="auto"/>
            <w:right w:val="none" w:sz="0" w:space="0" w:color="auto"/>
          </w:divBdr>
          <w:divsChild>
            <w:div w:id="1728648470">
              <w:marLeft w:val="0"/>
              <w:marRight w:val="0"/>
              <w:marTop w:val="0"/>
              <w:marBottom w:val="0"/>
              <w:divBdr>
                <w:top w:val="none" w:sz="0" w:space="0" w:color="auto"/>
                <w:left w:val="none" w:sz="0" w:space="0" w:color="auto"/>
                <w:bottom w:val="none" w:sz="0" w:space="0" w:color="auto"/>
                <w:right w:val="none" w:sz="0" w:space="0" w:color="auto"/>
              </w:divBdr>
              <w:divsChild>
                <w:div w:id="519390979">
                  <w:marLeft w:val="0"/>
                  <w:marRight w:val="0"/>
                  <w:marTop w:val="0"/>
                  <w:marBottom w:val="0"/>
                  <w:divBdr>
                    <w:top w:val="none" w:sz="0" w:space="0" w:color="auto"/>
                    <w:left w:val="none" w:sz="0" w:space="0" w:color="auto"/>
                    <w:bottom w:val="none" w:sz="0" w:space="0" w:color="auto"/>
                    <w:right w:val="none" w:sz="0" w:space="0" w:color="auto"/>
                  </w:divBdr>
                  <w:divsChild>
                    <w:div w:id="57284877">
                      <w:marLeft w:val="0"/>
                      <w:marRight w:val="0"/>
                      <w:marTop w:val="0"/>
                      <w:marBottom w:val="0"/>
                      <w:divBdr>
                        <w:top w:val="none" w:sz="0" w:space="0" w:color="auto"/>
                        <w:left w:val="none" w:sz="0" w:space="0" w:color="auto"/>
                        <w:bottom w:val="none" w:sz="0" w:space="0" w:color="auto"/>
                        <w:right w:val="none" w:sz="0" w:space="0" w:color="auto"/>
                      </w:divBdr>
                      <w:divsChild>
                        <w:div w:id="121846241">
                          <w:marLeft w:val="0"/>
                          <w:marRight w:val="0"/>
                          <w:marTop w:val="0"/>
                          <w:marBottom w:val="0"/>
                          <w:divBdr>
                            <w:top w:val="none" w:sz="0" w:space="0" w:color="auto"/>
                            <w:left w:val="none" w:sz="0" w:space="0" w:color="auto"/>
                            <w:bottom w:val="none" w:sz="0" w:space="0" w:color="auto"/>
                            <w:right w:val="none" w:sz="0" w:space="0" w:color="auto"/>
                          </w:divBdr>
                          <w:divsChild>
                            <w:div w:id="1640720465">
                              <w:marLeft w:val="0"/>
                              <w:marRight w:val="0"/>
                              <w:marTop w:val="0"/>
                              <w:marBottom w:val="0"/>
                              <w:divBdr>
                                <w:top w:val="none" w:sz="0" w:space="0" w:color="auto"/>
                                <w:left w:val="none" w:sz="0" w:space="0" w:color="auto"/>
                                <w:bottom w:val="none" w:sz="0" w:space="0" w:color="auto"/>
                                <w:right w:val="none" w:sz="0" w:space="0" w:color="auto"/>
                              </w:divBdr>
                              <w:divsChild>
                                <w:div w:id="262542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8877460">
                          <w:marLeft w:val="0"/>
                          <w:marRight w:val="0"/>
                          <w:marTop w:val="0"/>
                          <w:marBottom w:val="0"/>
                          <w:divBdr>
                            <w:top w:val="none" w:sz="0" w:space="0" w:color="auto"/>
                            <w:left w:val="none" w:sz="0" w:space="0" w:color="auto"/>
                            <w:bottom w:val="none" w:sz="0" w:space="0" w:color="auto"/>
                            <w:right w:val="none" w:sz="0" w:space="0" w:color="auto"/>
                          </w:divBdr>
                          <w:divsChild>
                            <w:div w:id="94710724">
                              <w:marLeft w:val="0"/>
                              <w:marRight w:val="0"/>
                              <w:marTop w:val="0"/>
                              <w:marBottom w:val="0"/>
                              <w:divBdr>
                                <w:top w:val="none" w:sz="0" w:space="0" w:color="auto"/>
                                <w:left w:val="none" w:sz="0" w:space="0" w:color="auto"/>
                                <w:bottom w:val="none" w:sz="0" w:space="0" w:color="auto"/>
                                <w:right w:val="none" w:sz="0" w:space="0" w:color="auto"/>
                              </w:divBdr>
                              <w:divsChild>
                                <w:div w:id="1249651682">
                                  <w:marLeft w:val="0"/>
                                  <w:marRight w:val="0"/>
                                  <w:marTop w:val="0"/>
                                  <w:marBottom w:val="0"/>
                                  <w:divBdr>
                                    <w:top w:val="none" w:sz="0" w:space="0" w:color="auto"/>
                                    <w:left w:val="none" w:sz="0" w:space="0" w:color="auto"/>
                                    <w:bottom w:val="none" w:sz="0" w:space="0" w:color="auto"/>
                                    <w:right w:val="none" w:sz="0" w:space="0" w:color="auto"/>
                                  </w:divBdr>
                                  <w:divsChild>
                                    <w:div w:id="2964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64293735">
      <w:bodyDiv w:val="1"/>
      <w:marLeft w:val="0"/>
      <w:marRight w:val="0"/>
      <w:marTop w:val="0"/>
      <w:marBottom w:val="0"/>
      <w:divBdr>
        <w:top w:val="none" w:sz="0" w:space="0" w:color="auto"/>
        <w:left w:val="none" w:sz="0" w:space="0" w:color="auto"/>
        <w:bottom w:val="none" w:sz="0" w:space="0" w:color="auto"/>
        <w:right w:val="none" w:sz="0" w:space="0" w:color="auto"/>
      </w:divBdr>
    </w:div>
    <w:div w:id="941381456">
      <w:bodyDiv w:val="1"/>
      <w:marLeft w:val="0"/>
      <w:marRight w:val="0"/>
      <w:marTop w:val="0"/>
      <w:marBottom w:val="0"/>
      <w:divBdr>
        <w:top w:val="none" w:sz="0" w:space="0" w:color="auto"/>
        <w:left w:val="none" w:sz="0" w:space="0" w:color="auto"/>
        <w:bottom w:val="none" w:sz="0" w:space="0" w:color="auto"/>
        <w:right w:val="none" w:sz="0" w:space="0" w:color="auto"/>
      </w:divBdr>
      <w:divsChild>
        <w:div w:id="973212583">
          <w:marLeft w:val="0"/>
          <w:marRight w:val="0"/>
          <w:marTop w:val="0"/>
          <w:marBottom w:val="0"/>
          <w:divBdr>
            <w:top w:val="none" w:sz="0" w:space="0" w:color="auto"/>
            <w:left w:val="none" w:sz="0" w:space="0" w:color="auto"/>
            <w:bottom w:val="none" w:sz="0" w:space="0" w:color="auto"/>
            <w:right w:val="none" w:sz="0" w:space="0" w:color="auto"/>
          </w:divBdr>
        </w:div>
        <w:div w:id="1991247133">
          <w:marLeft w:val="0"/>
          <w:marRight w:val="0"/>
          <w:marTop w:val="0"/>
          <w:marBottom w:val="0"/>
          <w:divBdr>
            <w:top w:val="none" w:sz="0" w:space="0" w:color="auto"/>
            <w:left w:val="none" w:sz="0" w:space="0" w:color="auto"/>
            <w:bottom w:val="none" w:sz="0" w:space="0" w:color="auto"/>
            <w:right w:val="none" w:sz="0" w:space="0" w:color="auto"/>
          </w:divBdr>
        </w:div>
        <w:div w:id="2056154458">
          <w:marLeft w:val="0"/>
          <w:marRight w:val="0"/>
          <w:marTop w:val="0"/>
          <w:marBottom w:val="0"/>
          <w:divBdr>
            <w:top w:val="none" w:sz="0" w:space="0" w:color="auto"/>
            <w:left w:val="none" w:sz="0" w:space="0" w:color="auto"/>
            <w:bottom w:val="none" w:sz="0" w:space="0" w:color="auto"/>
            <w:right w:val="none" w:sz="0" w:space="0" w:color="auto"/>
          </w:divBdr>
        </w:div>
      </w:divsChild>
    </w:div>
    <w:div w:id="955335556">
      <w:bodyDiv w:val="1"/>
      <w:marLeft w:val="0"/>
      <w:marRight w:val="0"/>
      <w:marTop w:val="0"/>
      <w:marBottom w:val="0"/>
      <w:divBdr>
        <w:top w:val="none" w:sz="0" w:space="0" w:color="auto"/>
        <w:left w:val="none" w:sz="0" w:space="0" w:color="auto"/>
        <w:bottom w:val="none" w:sz="0" w:space="0" w:color="auto"/>
        <w:right w:val="none" w:sz="0" w:space="0" w:color="auto"/>
      </w:divBdr>
      <w:divsChild>
        <w:div w:id="429088606">
          <w:marLeft w:val="0"/>
          <w:marRight w:val="0"/>
          <w:marTop w:val="0"/>
          <w:marBottom w:val="0"/>
          <w:divBdr>
            <w:top w:val="none" w:sz="0" w:space="0" w:color="auto"/>
            <w:left w:val="none" w:sz="0" w:space="0" w:color="auto"/>
            <w:bottom w:val="none" w:sz="0" w:space="0" w:color="auto"/>
            <w:right w:val="none" w:sz="0" w:space="0" w:color="auto"/>
          </w:divBdr>
          <w:divsChild>
            <w:div w:id="786586137">
              <w:marLeft w:val="0"/>
              <w:marRight w:val="0"/>
              <w:marTop w:val="0"/>
              <w:marBottom w:val="0"/>
              <w:divBdr>
                <w:top w:val="none" w:sz="0" w:space="0" w:color="auto"/>
                <w:left w:val="none" w:sz="0" w:space="0" w:color="auto"/>
                <w:bottom w:val="none" w:sz="0" w:space="0" w:color="auto"/>
                <w:right w:val="none" w:sz="0" w:space="0" w:color="auto"/>
              </w:divBdr>
            </w:div>
          </w:divsChild>
        </w:div>
        <w:div w:id="694310334">
          <w:marLeft w:val="0"/>
          <w:marRight w:val="0"/>
          <w:marTop w:val="0"/>
          <w:marBottom w:val="0"/>
          <w:divBdr>
            <w:top w:val="none" w:sz="0" w:space="0" w:color="auto"/>
            <w:left w:val="none" w:sz="0" w:space="0" w:color="auto"/>
            <w:bottom w:val="none" w:sz="0" w:space="0" w:color="auto"/>
            <w:right w:val="none" w:sz="0" w:space="0" w:color="auto"/>
          </w:divBdr>
          <w:divsChild>
            <w:div w:id="967593210">
              <w:marLeft w:val="0"/>
              <w:marRight w:val="0"/>
              <w:marTop w:val="0"/>
              <w:marBottom w:val="0"/>
              <w:divBdr>
                <w:top w:val="none" w:sz="0" w:space="0" w:color="auto"/>
                <w:left w:val="none" w:sz="0" w:space="0" w:color="auto"/>
                <w:bottom w:val="none" w:sz="0" w:space="0" w:color="auto"/>
                <w:right w:val="none" w:sz="0" w:space="0" w:color="auto"/>
              </w:divBdr>
            </w:div>
          </w:divsChild>
        </w:div>
        <w:div w:id="1076051930">
          <w:marLeft w:val="0"/>
          <w:marRight w:val="0"/>
          <w:marTop w:val="0"/>
          <w:marBottom w:val="0"/>
          <w:divBdr>
            <w:top w:val="none" w:sz="0" w:space="0" w:color="auto"/>
            <w:left w:val="none" w:sz="0" w:space="0" w:color="auto"/>
            <w:bottom w:val="none" w:sz="0" w:space="0" w:color="auto"/>
            <w:right w:val="none" w:sz="0" w:space="0" w:color="auto"/>
          </w:divBdr>
          <w:divsChild>
            <w:div w:id="1404569148">
              <w:marLeft w:val="0"/>
              <w:marRight w:val="0"/>
              <w:marTop w:val="0"/>
              <w:marBottom w:val="0"/>
              <w:divBdr>
                <w:top w:val="none" w:sz="0" w:space="0" w:color="auto"/>
                <w:left w:val="none" w:sz="0" w:space="0" w:color="auto"/>
                <w:bottom w:val="none" w:sz="0" w:space="0" w:color="auto"/>
                <w:right w:val="none" w:sz="0" w:space="0" w:color="auto"/>
              </w:divBdr>
            </w:div>
          </w:divsChild>
        </w:div>
        <w:div w:id="1691102891">
          <w:marLeft w:val="0"/>
          <w:marRight w:val="0"/>
          <w:marTop w:val="0"/>
          <w:marBottom w:val="0"/>
          <w:divBdr>
            <w:top w:val="none" w:sz="0" w:space="0" w:color="auto"/>
            <w:left w:val="none" w:sz="0" w:space="0" w:color="auto"/>
            <w:bottom w:val="none" w:sz="0" w:space="0" w:color="auto"/>
            <w:right w:val="none" w:sz="0" w:space="0" w:color="auto"/>
          </w:divBdr>
          <w:divsChild>
            <w:div w:id="121172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108560">
      <w:bodyDiv w:val="1"/>
      <w:marLeft w:val="0"/>
      <w:marRight w:val="0"/>
      <w:marTop w:val="0"/>
      <w:marBottom w:val="0"/>
      <w:divBdr>
        <w:top w:val="none" w:sz="0" w:space="0" w:color="auto"/>
        <w:left w:val="none" w:sz="0" w:space="0" w:color="auto"/>
        <w:bottom w:val="none" w:sz="0" w:space="0" w:color="auto"/>
        <w:right w:val="none" w:sz="0" w:space="0" w:color="auto"/>
      </w:divBdr>
    </w:div>
    <w:div w:id="1062755505">
      <w:bodyDiv w:val="1"/>
      <w:marLeft w:val="0"/>
      <w:marRight w:val="0"/>
      <w:marTop w:val="0"/>
      <w:marBottom w:val="0"/>
      <w:divBdr>
        <w:top w:val="none" w:sz="0" w:space="0" w:color="auto"/>
        <w:left w:val="none" w:sz="0" w:space="0" w:color="auto"/>
        <w:bottom w:val="none" w:sz="0" w:space="0" w:color="auto"/>
        <w:right w:val="none" w:sz="0" w:space="0" w:color="auto"/>
      </w:divBdr>
      <w:divsChild>
        <w:div w:id="2056001509">
          <w:marLeft w:val="0"/>
          <w:marRight w:val="0"/>
          <w:marTop w:val="0"/>
          <w:marBottom w:val="0"/>
          <w:divBdr>
            <w:top w:val="single" w:sz="2" w:space="0" w:color="auto"/>
            <w:left w:val="single" w:sz="2" w:space="0" w:color="auto"/>
            <w:bottom w:val="single" w:sz="2" w:space="0" w:color="auto"/>
            <w:right w:val="single" w:sz="2" w:space="0" w:color="auto"/>
          </w:divBdr>
          <w:divsChild>
            <w:div w:id="2020427087">
              <w:marLeft w:val="0"/>
              <w:marRight w:val="0"/>
              <w:marTop w:val="0"/>
              <w:marBottom w:val="0"/>
              <w:divBdr>
                <w:top w:val="single" w:sz="2" w:space="0" w:color="auto"/>
                <w:left w:val="single" w:sz="2" w:space="0" w:color="auto"/>
                <w:bottom w:val="single" w:sz="2" w:space="0" w:color="auto"/>
                <w:right w:val="single" w:sz="2" w:space="0" w:color="auto"/>
              </w:divBdr>
              <w:divsChild>
                <w:div w:id="1536575403">
                  <w:marLeft w:val="0"/>
                  <w:marRight w:val="0"/>
                  <w:marTop w:val="0"/>
                  <w:marBottom w:val="0"/>
                  <w:divBdr>
                    <w:top w:val="single" w:sz="2" w:space="0" w:color="auto"/>
                    <w:left w:val="single" w:sz="2" w:space="0" w:color="auto"/>
                    <w:bottom w:val="single" w:sz="2" w:space="0" w:color="auto"/>
                    <w:right w:val="single" w:sz="2" w:space="0" w:color="auto"/>
                  </w:divBdr>
                  <w:divsChild>
                    <w:div w:id="1095008170">
                      <w:marLeft w:val="0"/>
                      <w:marRight w:val="0"/>
                      <w:marTop w:val="0"/>
                      <w:marBottom w:val="0"/>
                      <w:divBdr>
                        <w:top w:val="single" w:sz="2" w:space="0" w:color="auto"/>
                        <w:left w:val="single" w:sz="2" w:space="0" w:color="auto"/>
                        <w:bottom w:val="single" w:sz="2" w:space="0" w:color="auto"/>
                        <w:right w:val="single" w:sz="2" w:space="0" w:color="auto"/>
                      </w:divBdr>
                      <w:divsChild>
                        <w:div w:id="538201599">
                          <w:marLeft w:val="0"/>
                          <w:marRight w:val="0"/>
                          <w:marTop w:val="0"/>
                          <w:marBottom w:val="0"/>
                          <w:divBdr>
                            <w:top w:val="single" w:sz="2" w:space="0" w:color="auto"/>
                            <w:left w:val="single" w:sz="2" w:space="0" w:color="auto"/>
                            <w:bottom w:val="single" w:sz="2" w:space="0" w:color="auto"/>
                            <w:right w:val="single" w:sz="2" w:space="0" w:color="auto"/>
                          </w:divBdr>
                          <w:divsChild>
                            <w:div w:id="1125855196">
                              <w:marLeft w:val="0"/>
                              <w:marRight w:val="0"/>
                              <w:marTop w:val="0"/>
                              <w:marBottom w:val="0"/>
                              <w:divBdr>
                                <w:top w:val="single" w:sz="2" w:space="0" w:color="auto"/>
                                <w:left w:val="single" w:sz="2" w:space="0" w:color="auto"/>
                                <w:bottom w:val="single" w:sz="2" w:space="0" w:color="auto"/>
                                <w:right w:val="single" w:sz="2" w:space="0" w:color="auto"/>
                              </w:divBdr>
                              <w:divsChild>
                                <w:div w:id="1238785442">
                                  <w:marLeft w:val="0"/>
                                  <w:marRight w:val="0"/>
                                  <w:marTop w:val="0"/>
                                  <w:marBottom w:val="0"/>
                                  <w:divBdr>
                                    <w:top w:val="single" w:sz="2" w:space="2" w:color="auto"/>
                                    <w:left w:val="single" w:sz="2" w:space="0" w:color="auto"/>
                                    <w:bottom w:val="single" w:sz="2" w:space="0" w:color="auto"/>
                                    <w:right w:val="single" w:sz="2" w:space="0" w:color="auto"/>
                                  </w:divBdr>
                                  <w:divsChild>
                                    <w:div w:id="209689605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110780530">
      <w:bodyDiv w:val="1"/>
      <w:marLeft w:val="0"/>
      <w:marRight w:val="0"/>
      <w:marTop w:val="0"/>
      <w:marBottom w:val="0"/>
      <w:divBdr>
        <w:top w:val="none" w:sz="0" w:space="0" w:color="auto"/>
        <w:left w:val="none" w:sz="0" w:space="0" w:color="auto"/>
        <w:bottom w:val="none" w:sz="0" w:space="0" w:color="auto"/>
        <w:right w:val="none" w:sz="0" w:space="0" w:color="auto"/>
      </w:divBdr>
      <w:divsChild>
        <w:div w:id="525407392">
          <w:marLeft w:val="0"/>
          <w:marRight w:val="0"/>
          <w:marTop w:val="0"/>
          <w:marBottom w:val="0"/>
          <w:divBdr>
            <w:top w:val="none" w:sz="0" w:space="0" w:color="auto"/>
            <w:left w:val="none" w:sz="0" w:space="0" w:color="auto"/>
            <w:bottom w:val="none" w:sz="0" w:space="0" w:color="auto"/>
            <w:right w:val="none" w:sz="0" w:space="0" w:color="auto"/>
          </w:divBdr>
          <w:divsChild>
            <w:div w:id="1890460295">
              <w:marLeft w:val="0"/>
              <w:marRight w:val="0"/>
              <w:marTop w:val="0"/>
              <w:marBottom w:val="0"/>
              <w:divBdr>
                <w:top w:val="none" w:sz="0" w:space="0" w:color="auto"/>
                <w:left w:val="none" w:sz="0" w:space="0" w:color="auto"/>
                <w:bottom w:val="none" w:sz="0" w:space="0" w:color="auto"/>
                <w:right w:val="none" w:sz="0" w:space="0" w:color="auto"/>
              </w:divBdr>
              <w:divsChild>
                <w:div w:id="1959681794">
                  <w:marLeft w:val="0"/>
                  <w:marRight w:val="0"/>
                  <w:marTop w:val="0"/>
                  <w:marBottom w:val="0"/>
                  <w:divBdr>
                    <w:top w:val="none" w:sz="0" w:space="0" w:color="auto"/>
                    <w:left w:val="none" w:sz="0" w:space="0" w:color="auto"/>
                    <w:bottom w:val="none" w:sz="0" w:space="0" w:color="auto"/>
                    <w:right w:val="none" w:sz="0" w:space="0" w:color="auto"/>
                  </w:divBdr>
                  <w:divsChild>
                    <w:div w:id="1787456839">
                      <w:marLeft w:val="0"/>
                      <w:marRight w:val="0"/>
                      <w:marTop w:val="0"/>
                      <w:marBottom w:val="0"/>
                      <w:divBdr>
                        <w:top w:val="none" w:sz="0" w:space="0" w:color="auto"/>
                        <w:left w:val="none" w:sz="0" w:space="0" w:color="auto"/>
                        <w:bottom w:val="none" w:sz="0" w:space="0" w:color="auto"/>
                        <w:right w:val="none" w:sz="0" w:space="0" w:color="auto"/>
                      </w:divBdr>
                      <w:divsChild>
                        <w:div w:id="831675992">
                          <w:marLeft w:val="0"/>
                          <w:marRight w:val="0"/>
                          <w:marTop w:val="0"/>
                          <w:marBottom w:val="0"/>
                          <w:divBdr>
                            <w:top w:val="none" w:sz="0" w:space="0" w:color="auto"/>
                            <w:left w:val="none" w:sz="0" w:space="0" w:color="auto"/>
                            <w:bottom w:val="none" w:sz="0" w:space="0" w:color="auto"/>
                            <w:right w:val="none" w:sz="0" w:space="0" w:color="auto"/>
                          </w:divBdr>
                          <w:divsChild>
                            <w:div w:id="650906072">
                              <w:marLeft w:val="0"/>
                              <w:marRight w:val="0"/>
                              <w:marTop w:val="0"/>
                              <w:marBottom w:val="0"/>
                              <w:divBdr>
                                <w:top w:val="none" w:sz="0" w:space="0" w:color="auto"/>
                                <w:left w:val="none" w:sz="0" w:space="0" w:color="auto"/>
                                <w:bottom w:val="none" w:sz="0" w:space="0" w:color="auto"/>
                                <w:right w:val="none" w:sz="0" w:space="0" w:color="auto"/>
                              </w:divBdr>
                              <w:divsChild>
                                <w:div w:id="1703824270">
                                  <w:marLeft w:val="0"/>
                                  <w:marRight w:val="0"/>
                                  <w:marTop w:val="0"/>
                                  <w:marBottom w:val="0"/>
                                  <w:divBdr>
                                    <w:top w:val="none" w:sz="0" w:space="0" w:color="auto"/>
                                    <w:left w:val="none" w:sz="0" w:space="0" w:color="auto"/>
                                    <w:bottom w:val="none" w:sz="0" w:space="0" w:color="auto"/>
                                    <w:right w:val="none" w:sz="0" w:space="0" w:color="auto"/>
                                  </w:divBdr>
                                  <w:divsChild>
                                    <w:div w:id="1974410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12163131">
      <w:bodyDiv w:val="1"/>
      <w:marLeft w:val="0"/>
      <w:marRight w:val="0"/>
      <w:marTop w:val="0"/>
      <w:marBottom w:val="0"/>
      <w:divBdr>
        <w:top w:val="none" w:sz="0" w:space="0" w:color="auto"/>
        <w:left w:val="none" w:sz="0" w:space="0" w:color="auto"/>
        <w:bottom w:val="none" w:sz="0" w:space="0" w:color="auto"/>
        <w:right w:val="none" w:sz="0" w:space="0" w:color="auto"/>
      </w:divBdr>
      <w:divsChild>
        <w:div w:id="769659930">
          <w:marLeft w:val="0"/>
          <w:marRight w:val="0"/>
          <w:marTop w:val="0"/>
          <w:marBottom w:val="0"/>
          <w:divBdr>
            <w:top w:val="none" w:sz="0" w:space="0" w:color="auto"/>
            <w:left w:val="none" w:sz="0" w:space="0" w:color="auto"/>
            <w:bottom w:val="none" w:sz="0" w:space="0" w:color="auto"/>
            <w:right w:val="none" w:sz="0" w:space="0" w:color="auto"/>
          </w:divBdr>
        </w:div>
        <w:div w:id="784738802">
          <w:marLeft w:val="0"/>
          <w:marRight w:val="0"/>
          <w:marTop w:val="0"/>
          <w:marBottom w:val="0"/>
          <w:divBdr>
            <w:top w:val="none" w:sz="0" w:space="0" w:color="auto"/>
            <w:left w:val="none" w:sz="0" w:space="0" w:color="auto"/>
            <w:bottom w:val="none" w:sz="0" w:space="0" w:color="auto"/>
            <w:right w:val="none" w:sz="0" w:space="0" w:color="auto"/>
          </w:divBdr>
        </w:div>
        <w:div w:id="894655875">
          <w:marLeft w:val="0"/>
          <w:marRight w:val="0"/>
          <w:marTop w:val="0"/>
          <w:marBottom w:val="0"/>
          <w:divBdr>
            <w:top w:val="none" w:sz="0" w:space="0" w:color="auto"/>
            <w:left w:val="none" w:sz="0" w:space="0" w:color="auto"/>
            <w:bottom w:val="none" w:sz="0" w:space="0" w:color="auto"/>
            <w:right w:val="none" w:sz="0" w:space="0" w:color="auto"/>
          </w:divBdr>
        </w:div>
        <w:div w:id="1278293945">
          <w:marLeft w:val="0"/>
          <w:marRight w:val="0"/>
          <w:marTop w:val="0"/>
          <w:marBottom w:val="0"/>
          <w:divBdr>
            <w:top w:val="none" w:sz="0" w:space="0" w:color="auto"/>
            <w:left w:val="none" w:sz="0" w:space="0" w:color="auto"/>
            <w:bottom w:val="none" w:sz="0" w:space="0" w:color="auto"/>
            <w:right w:val="none" w:sz="0" w:space="0" w:color="auto"/>
          </w:divBdr>
        </w:div>
        <w:div w:id="1297838432">
          <w:marLeft w:val="0"/>
          <w:marRight w:val="0"/>
          <w:marTop w:val="0"/>
          <w:marBottom w:val="0"/>
          <w:divBdr>
            <w:top w:val="none" w:sz="0" w:space="0" w:color="auto"/>
            <w:left w:val="none" w:sz="0" w:space="0" w:color="auto"/>
            <w:bottom w:val="none" w:sz="0" w:space="0" w:color="auto"/>
            <w:right w:val="none" w:sz="0" w:space="0" w:color="auto"/>
          </w:divBdr>
        </w:div>
        <w:div w:id="1561817700">
          <w:marLeft w:val="0"/>
          <w:marRight w:val="0"/>
          <w:marTop w:val="0"/>
          <w:marBottom w:val="0"/>
          <w:divBdr>
            <w:top w:val="none" w:sz="0" w:space="0" w:color="auto"/>
            <w:left w:val="none" w:sz="0" w:space="0" w:color="auto"/>
            <w:bottom w:val="none" w:sz="0" w:space="0" w:color="auto"/>
            <w:right w:val="none" w:sz="0" w:space="0" w:color="auto"/>
          </w:divBdr>
        </w:div>
        <w:div w:id="1701512769">
          <w:marLeft w:val="0"/>
          <w:marRight w:val="0"/>
          <w:marTop w:val="0"/>
          <w:marBottom w:val="0"/>
          <w:divBdr>
            <w:top w:val="none" w:sz="0" w:space="0" w:color="auto"/>
            <w:left w:val="none" w:sz="0" w:space="0" w:color="auto"/>
            <w:bottom w:val="none" w:sz="0" w:space="0" w:color="auto"/>
            <w:right w:val="none" w:sz="0" w:space="0" w:color="auto"/>
          </w:divBdr>
        </w:div>
      </w:divsChild>
    </w:div>
    <w:div w:id="1134639323">
      <w:bodyDiv w:val="1"/>
      <w:marLeft w:val="0"/>
      <w:marRight w:val="0"/>
      <w:marTop w:val="0"/>
      <w:marBottom w:val="0"/>
      <w:divBdr>
        <w:top w:val="none" w:sz="0" w:space="0" w:color="auto"/>
        <w:left w:val="none" w:sz="0" w:space="0" w:color="auto"/>
        <w:bottom w:val="none" w:sz="0" w:space="0" w:color="auto"/>
        <w:right w:val="none" w:sz="0" w:space="0" w:color="auto"/>
      </w:divBdr>
    </w:div>
    <w:div w:id="1135946947">
      <w:bodyDiv w:val="1"/>
      <w:marLeft w:val="0"/>
      <w:marRight w:val="0"/>
      <w:marTop w:val="0"/>
      <w:marBottom w:val="0"/>
      <w:divBdr>
        <w:top w:val="none" w:sz="0" w:space="0" w:color="auto"/>
        <w:left w:val="none" w:sz="0" w:space="0" w:color="auto"/>
        <w:bottom w:val="none" w:sz="0" w:space="0" w:color="auto"/>
        <w:right w:val="none" w:sz="0" w:space="0" w:color="auto"/>
      </w:divBdr>
    </w:div>
    <w:div w:id="1159341749">
      <w:bodyDiv w:val="1"/>
      <w:marLeft w:val="0"/>
      <w:marRight w:val="0"/>
      <w:marTop w:val="0"/>
      <w:marBottom w:val="0"/>
      <w:divBdr>
        <w:top w:val="none" w:sz="0" w:space="0" w:color="auto"/>
        <w:left w:val="none" w:sz="0" w:space="0" w:color="auto"/>
        <w:bottom w:val="none" w:sz="0" w:space="0" w:color="auto"/>
        <w:right w:val="none" w:sz="0" w:space="0" w:color="auto"/>
      </w:divBdr>
    </w:div>
    <w:div w:id="1230462569">
      <w:bodyDiv w:val="1"/>
      <w:marLeft w:val="0"/>
      <w:marRight w:val="0"/>
      <w:marTop w:val="0"/>
      <w:marBottom w:val="0"/>
      <w:divBdr>
        <w:top w:val="none" w:sz="0" w:space="0" w:color="auto"/>
        <w:left w:val="none" w:sz="0" w:space="0" w:color="auto"/>
        <w:bottom w:val="none" w:sz="0" w:space="0" w:color="auto"/>
        <w:right w:val="none" w:sz="0" w:space="0" w:color="auto"/>
      </w:divBdr>
    </w:div>
    <w:div w:id="1231816998">
      <w:bodyDiv w:val="1"/>
      <w:marLeft w:val="0"/>
      <w:marRight w:val="0"/>
      <w:marTop w:val="0"/>
      <w:marBottom w:val="0"/>
      <w:divBdr>
        <w:top w:val="none" w:sz="0" w:space="0" w:color="auto"/>
        <w:left w:val="none" w:sz="0" w:space="0" w:color="auto"/>
        <w:bottom w:val="none" w:sz="0" w:space="0" w:color="auto"/>
        <w:right w:val="none" w:sz="0" w:space="0" w:color="auto"/>
      </w:divBdr>
    </w:div>
    <w:div w:id="1266157661">
      <w:bodyDiv w:val="1"/>
      <w:marLeft w:val="0"/>
      <w:marRight w:val="0"/>
      <w:marTop w:val="0"/>
      <w:marBottom w:val="0"/>
      <w:divBdr>
        <w:top w:val="none" w:sz="0" w:space="0" w:color="auto"/>
        <w:left w:val="none" w:sz="0" w:space="0" w:color="auto"/>
        <w:bottom w:val="none" w:sz="0" w:space="0" w:color="auto"/>
        <w:right w:val="none" w:sz="0" w:space="0" w:color="auto"/>
      </w:divBdr>
    </w:div>
    <w:div w:id="1274286281">
      <w:bodyDiv w:val="1"/>
      <w:marLeft w:val="0"/>
      <w:marRight w:val="0"/>
      <w:marTop w:val="0"/>
      <w:marBottom w:val="0"/>
      <w:divBdr>
        <w:top w:val="none" w:sz="0" w:space="0" w:color="auto"/>
        <w:left w:val="none" w:sz="0" w:space="0" w:color="auto"/>
        <w:bottom w:val="none" w:sz="0" w:space="0" w:color="auto"/>
        <w:right w:val="none" w:sz="0" w:space="0" w:color="auto"/>
      </w:divBdr>
      <w:divsChild>
        <w:div w:id="209806131">
          <w:marLeft w:val="0"/>
          <w:marRight w:val="0"/>
          <w:marTop w:val="0"/>
          <w:marBottom w:val="0"/>
          <w:divBdr>
            <w:top w:val="none" w:sz="0" w:space="0" w:color="auto"/>
            <w:left w:val="none" w:sz="0" w:space="0" w:color="auto"/>
            <w:bottom w:val="none" w:sz="0" w:space="0" w:color="auto"/>
            <w:right w:val="none" w:sz="0" w:space="0" w:color="auto"/>
          </w:divBdr>
          <w:divsChild>
            <w:div w:id="1583682378">
              <w:marLeft w:val="0"/>
              <w:marRight w:val="0"/>
              <w:marTop w:val="0"/>
              <w:marBottom w:val="0"/>
              <w:divBdr>
                <w:top w:val="none" w:sz="0" w:space="0" w:color="auto"/>
                <w:left w:val="none" w:sz="0" w:space="0" w:color="auto"/>
                <w:bottom w:val="none" w:sz="0" w:space="0" w:color="auto"/>
                <w:right w:val="none" w:sz="0" w:space="0" w:color="auto"/>
              </w:divBdr>
              <w:divsChild>
                <w:div w:id="876968604">
                  <w:marLeft w:val="0"/>
                  <w:marRight w:val="0"/>
                  <w:marTop w:val="0"/>
                  <w:marBottom w:val="0"/>
                  <w:divBdr>
                    <w:top w:val="none" w:sz="0" w:space="0" w:color="auto"/>
                    <w:left w:val="none" w:sz="0" w:space="0" w:color="auto"/>
                    <w:bottom w:val="none" w:sz="0" w:space="0" w:color="auto"/>
                    <w:right w:val="none" w:sz="0" w:space="0" w:color="auto"/>
                  </w:divBdr>
                  <w:divsChild>
                    <w:div w:id="1563369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9312131">
      <w:bodyDiv w:val="1"/>
      <w:marLeft w:val="0"/>
      <w:marRight w:val="0"/>
      <w:marTop w:val="0"/>
      <w:marBottom w:val="0"/>
      <w:divBdr>
        <w:top w:val="none" w:sz="0" w:space="0" w:color="auto"/>
        <w:left w:val="none" w:sz="0" w:space="0" w:color="auto"/>
        <w:bottom w:val="none" w:sz="0" w:space="0" w:color="auto"/>
        <w:right w:val="none" w:sz="0" w:space="0" w:color="auto"/>
      </w:divBdr>
    </w:div>
    <w:div w:id="1290739715">
      <w:bodyDiv w:val="1"/>
      <w:marLeft w:val="0"/>
      <w:marRight w:val="0"/>
      <w:marTop w:val="0"/>
      <w:marBottom w:val="0"/>
      <w:divBdr>
        <w:top w:val="none" w:sz="0" w:space="0" w:color="auto"/>
        <w:left w:val="none" w:sz="0" w:space="0" w:color="auto"/>
        <w:bottom w:val="none" w:sz="0" w:space="0" w:color="auto"/>
        <w:right w:val="none" w:sz="0" w:space="0" w:color="auto"/>
      </w:divBdr>
    </w:div>
    <w:div w:id="1322000261">
      <w:bodyDiv w:val="1"/>
      <w:marLeft w:val="0"/>
      <w:marRight w:val="0"/>
      <w:marTop w:val="0"/>
      <w:marBottom w:val="0"/>
      <w:divBdr>
        <w:top w:val="none" w:sz="0" w:space="0" w:color="auto"/>
        <w:left w:val="none" w:sz="0" w:space="0" w:color="auto"/>
        <w:bottom w:val="none" w:sz="0" w:space="0" w:color="auto"/>
        <w:right w:val="none" w:sz="0" w:space="0" w:color="auto"/>
      </w:divBdr>
    </w:div>
    <w:div w:id="1348412624">
      <w:bodyDiv w:val="1"/>
      <w:marLeft w:val="0"/>
      <w:marRight w:val="0"/>
      <w:marTop w:val="0"/>
      <w:marBottom w:val="0"/>
      <w:divBdr>
        <w:top w:val="none" w:sz="0" w:space="0" w:color="auto"/>
        <w:left w:val="none" w:sz="0" w:space="0" w:color="auto"/>
        <w:bottom w:val="none" w:sz="0" w:space="0" w:color="auto"/>
        <w:right w:val="none" w:sz="0" w:space="0" w:color="auto"/>
      </w:divBdr>
      <w:divsChild>
        <w:div w:id="445126439">
          <w:marLeft w:val="0"/>
          <w:marRight w:val="0"/>
          <w:marTop w:val="0"/>
          <w:marBottom w:val="0"/>
          <w:divBdr>
            <w:top w:val="none" w:sz="0" w:space="0" w:color="auto"/>
            <w:left w:val="none" w:sz="0" w:space="0" w:color="auto"/>
            <w:bottom w:val="none" w:sz="0" w:space="0" w:color="auto"/>
            <w:right w:val="none" w:sz="0" w:space="0" w:color="auto"/>
          </w:divBdr>
          <w:divsChild>
            <w:div w:id="1188257449">
              <w:marLeft w:val="0"/>
              <w:marRight w:val="0"/>
              <w:marTop w:val="0"/>
              <w:marBottom w:val="0"/>
              <w:divBdr>
                <w:top w:val="none" w:sz="0" w:space="0" w:color="auto"/>
                <w:left w:val="none" w:sz="0" w:space="0" w:color="auto"/>
                <w:bottom w:val="none" w:sz="0" w:space="0" w:color="auto"/>
                <w:right w:val="none" w:sz="0" w:space="0" w:color="auto"/>
              </w:divBdr>
              <w:divsChild>
                <w:div w:id="482696701">
                  <w:marLeft w:val="0"/>
                  <w:marRight w:val="0"/>
                  <w:marTop w:val="0"/>
                  <w:marBottom w:val="0"/>
                  <w:divBdr>
                    <w:top w:val="none" w:sz="0" w:space="0" w:color="auto"/>
                    <w:left w:val="none" w:sz="0" w:space="0" w:color="auto"/>
                    <w:bottom w:val="none" w:sz="0" w:space="0" w:color="auto"/>
                    <w:right w:val="none" w:sz="0" w:space="0" w:color="auto"/>
                  </w:divBdr>
                  <w:divsChild>
                    <w:div w:id="1684698858">
                      <w:marLeft w:val="0"/>
                      <w:marRight w:val="0"/>
                      <w:marTop w:val="0"/>
                      <w:marBottom w:val="0"/>
                      <w:divBdr>
                        <w:top w:val="none" w:sz="0" w:space="0" w:color="auto"/>
                        <w:left w:val="none" w:sz="0" w:space="0" w:color="auto"/>
                        <w:bottom w:val="none" w:sz="0" w:space="0" w:color="auto"/>
                        <w:right w:val="none" w:sz="0" w:space="0" w:color="auto"/>
                      </w:divBdr>
                      <w:divsChild>
                        <w:div w:id="775835593">
                          <w:marLeft w:val="0"/>
                          <w:marRight w:val="0"/>
                          <w:marTop w:val="0"/>
                          <w:marBottom w:val="0"/>
                          <w:divBdr>
                            <w:top w:val="none" w:sz="0" w:space="0" w:color="auto"/>
                            <w:left w:val="none" w:sz="0" w:space="0" w:color="auto"/>
                            <w:bottom w:val="none" w:sz="0" w:space="0" w:color="auto"/>
                            <w:right w:val="none" w:sz="0" w:space="0" w:color="auto"/>
                          </w:divBdr>
                          <w:divsChild>
                            <w:div w:id="722407850">
                              <w:marLeft w:val="0"/>
                              <w:marRight w:val="0"/>
                              <w:marTop w:val="0"/>
                              <w:marBottom w:val="0"/>
                              <w:divBdr>
                                <w:top w:val="none" w:sz="0" w:space="0" w:color="auto"/>
                                <w:left w:val="none" w:sz="0" w:space="0" w:color="auto"/>
                                <w:bottom w:val="none" w:sz="0" w:space="0" w:color="auto"/>
                                <w:right w:val="none" w:sz="0" w:space="0" w:color="auto"/>
                              </w:divBdr>
                              <w:divsChild>
                                <w:div w:id="88083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940817">
                          <w:marLeft w:val="0"/>
                          <w:marRight w:val="0"/>
                          <w:marTop w:val="0"/>
                          <w:marBottom w:val="0"/>
                          <w:divBdr>
                            <w:top w:val="none" w:sz="0" w:space="0" w:color="auto"/>
                            <w:left w:val="none" w:sz="0" w:space="0" w:color="auto"/>
                            <w:bottom w:val="none" w:sz="0" w:space="0" w:color="auto"/>
                            <w:right w:val="none" w:sz="0" w:space="0" w:color="auto"/>
                          </w:divBdr>
                          <w:divsChild>
                            <w:div w:id="1461344242">
                              <w:marLeft w:val="0"/>
                              <w:marRight w:val="0"/>
                              <w:marTop w:val="0"/>
                              <w:marBottom w:val="0"/>
                              <w:divBdr>
                                <w:top w:val="none" w:sz="0" w:space="0" w:color="auto"/>
                                <w:left w:val="none" w:sz="0" w:space="0" w:color="auto"/>
                                <w:bottom w:val="none" w:sz="0" w:space="0" w:color="auto"/>
                                <w:right w:val="none" w:sz="0" w:space="0" w:color="auto"/>
                              </w:divBdr>
                              <w:divsChild>
                                <w:div w:id="529340106">
                                  <w:marLeft w:val="0"/>
                                  <w:marRight w:val="0"/>
                                  <w:marTop w:val="0"/>
                                  <w:marBottom w:val="0"/>
                                  <w:divBdr>
                                    <w:top w:val="none" w:sz="0" w:space="0" w:color="auto"/>
                                    <w:left w:val="none" w:sz="0" w:space="0" w:color="auto"/>
                                    <w:bottom w:val="none" w:sz="0" w:space="0" w:color="auto"/>
                                    <w:right w:val="none" w:sz="0" w:space="0" w:color="auto"/>
                                  </w:divBdr>
                                  <w:divsChild>
                                    <w:div w:id="71461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64791216">
      <w:bodyDiv w:val="1"/>
      <w:marLeft w:val="0"/>
      <w:marRight w:val="0"/>
      <w:marTop w:val="0"/>
      <w:marBottom w:val="0"/>
      <w:divBdr>
        <w:top w:val="none" w:sz="0" w:space="0" w:color="auto"/>
        <w:left w:val="none" w:sz="0" w:space="0" w:color="auto"/>
        <w:bottom w:val="none" w:sz="0" w:space="0" w:color="auto"/>
        <w:right w:val="none" w:sz="0" w:space="0" w:color="auto"/>
      </w:divBdr>
      <w:divsChild>
        <w:div w:id="339240372">
          <w:marLeft w:val="0"/>
          <w:marRight w:val="0"/>
          <w:marTop w:val="0"/>
          <w:marBottom w:val="0"/>
          <w:divBdr>
            <w:top w:val="none" w:sz="0" w:space="0" w:color="auto"/>
            <w:left w:val="none" w:sz="0" w:space="0" w:color="auto"/>
            <w:bottom w:val="none" w:sz="0" w:space="0" w:color="auto"/>
            <w:right w:val="none" w:sz="0" w:space="0" w:color="auto"/>
          </w:divBdr>
          <w:divsChild>
            <w:div w:id="1630818120">
              <w:marLeft w:val="0"/>
              <w:marRight w:val="0"/>
              <w:marTop w:val="0"/>
              <w:marBottom w:val="0"/>
              <w:divBdr>
                <w:top w:val="none" w:sz="0" w:space="0" w:color="auto"/>
                <w:left w:val="none" w:sz="0" w:space="0" w:color="auto"/>
                <w:bottom w:val="none" w:sz="0" w:space="0" w:color="auto"/>
                <w:right w:val="none" w:sz="0" w:space="0" w:color="auto"/>
              </w:divBdr>
            </w:div>
          </w:divsChild>
        </w:div>
        <w:div w:id="362707129">
          <w:marLeft w:val="0"/>
          <w:marRight w:val="0"/>
          <w:marTop w:val="0"/>
          <w:marBottom w:val="0"/>
          <w:divBdr>
            <w:top w:val="none" w:sz="0" w:space="0" w:color="auto"/>
            <w:left w:val="none" w:sz="0" w:space="0" w:color="auto"/>
            <w:bottom w:val="none" w:sz="0" w:space="0" w:color="auto"/>
            <w:right w:val="none" w:sz="0" w:space="0" w:color="auto"/>
          </w:divBdr>
          <w:divsChild>
            <w:div w:id="114953808">
              <w:marLeft w:val="0"/>
              <w:marRight w:val="0"/>
              <w:marTop w:val="0"/>
              <w:marBottom w:val="0"/>
              <w:divBdr>
                <w:top w:val="none" w:sz="0" w:space="0" w:color="auto"/>
                <w:left w:val="none" w:sz="0" w:space="0" w:color="auto"/>
                <w:bottom w:val="none" w:sz="0" w:space="0" w:color="auto"/>
                <w:right w:val="none" w:sz="0" w:space="0" w:color="auto"/>
              </w:divBdr>
            </w:div>
          </w:divsChild>
        </w:div>
        <w:div w:id="733814867">
          <w:marLeft w:val="0"/>
          <w:marRight w:val="0"/>
          <w:marTop w:val="0"/>
          <w:marBottom w:val="0"/>
          <w:divBdr>
            <w:top w:val="none" w:sz="0" w:space="0" w:color="auto"/>
            <w:left w:val="none" w:sz="0" w:space="0" w:color="auto"/>
            <w:bottom w:val="none" w:sz="0" w:space="0" w:color="auto"/>
            <w:right w:val="none" w:sz="0" w:space="0" w:color="auto"/>
          </w:divBdr>
          <w:divsChild>
            <w:div w:id="1464037405">
              <w:marLeft w:val="0"/>
              <w:marRight w:val="0"/>
              <w:marTop w:val="0"/>
              <w:marBottom w:val="0"/>
              <w:divBdr>
                <w:top w:val="none" w:sz="0" w:space="0" w:color="auto"/>
                <w:left w:val="none" w:sz="0" w:space="0" w:color="auto"/>
                <w:bottom w:val="none" w:sz="0" w:space="0" w:color="auto"/>
                <w:right w:val="none" w:sz="0" w:space="0" w:color="auto"/>
              </w:divBdr>
            </w:div>
          </w:divsChild>
        </w:div>
        <w:div w:id="738753492">
          <w:marLeft w:val="0"/>
          <w:marRight w:val="0"/>
          <w:marTop w:val="0"/>
          <w:marBottom w:val="0"/>
          <w:divBdr>
            <w:top w:val="none" w:sz="0" w:space="0" w:color="auto"/>
            <w:left w:val="none" w:sz="0" w:space="0" w:color="auto"/>
            <w:bottom w:val="none" w:sz="0" w:space="0" w:color="auto"/>
            <w:right w:val="none" w:sz="0" w:space="0" w:color="auto"/>
          </w:divBdr>
          <w:divsChild>
            <w:div w:id="162129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03663">
      <w:bodyDiv w:val="1"/>
      <w:marLeft w:val="0"/>
      <w:marRight w:val="0"/>
      <w:marTop w:val="0"/>
      <w:marBottom w:val="0"/>
      <w:divBdr>
        <w:top w:val="none" w:sz="0" w:space="0" w:color="auto"/>
        <w:left w:val="none" w:sz="0" w:space="0" w:color="auto"/>
        <w:bottom w:val="none" w:sz="0" w:space="0" w:color="auto"/>
        <w:right w:val="none" w:sz="0" w:space="0" w:color="auto"/>
      </w:divBdr>
    </w:div>
    <w:div w:id="1465152793">
      <w:bodyDiv w:val="1"/>
      <w:marLeft w:val="0"/>
      <w:marRight w:val="0"/>
      <w:marTop w:val="0"/>
      <w:marBottom w:val="0"/>
      <w:divBdr>
        <w:top w:val="none" w:sz="0" w:space="0" w:color="auto"/>
        <w:left w:val="none" w:sz="0" w:space="0" w:color="auto"/>
        <w:bottom w:val="none" w:sz="0" w:space="0" w:color="auto"/>
        <w:right w:val="none" w:sz="0" w:space="0" w:color="auto"/>
      </w:divBdr>
      <w:divsChild>
        <w:div w:id="1291939953">
          <w:marLeft w:val="0"/>
          <w:marRight w:val="0"/>
          <w:marTop w:val="0"/>
          <w:marBottom w:val="0"/>
          <w:divBdr>
            <w:top w:val="none" w:sz="0" w:space="0" w:color="auto"/>
            <w:left w:val="none" w:sz="0" w:space="0" w:color="auto"/>
            <w:bottom w:val="none" w:sz="0" w:space="0" w:color="auto"/>
            <w:right w:val="none" w:sz="0" w:space="0" w:color="auto"/>
          </w:divBdr>
          <w:divsChild>
            <w:div w:id="705180934">
              <w:marLeft w:val="0"/>
              <w:marRight w:val="0"/>
              <w:marTop w:val="0"/>
              <w:marBottom w:val="0"/>
              <w:divBdr>
                <w:top w:val="none" w:sz="0" w:space="0" w:color="auto"/>
                <w:left w:val="none" w:sz="0" w:space="0" w:color="auto"/>
                <w:bottom w:val="none" w:sz="0" w:space="0" w:color="auto"/>
                <w:right w:val="none" w:sz="0" w:space="0" w:color="auto"/>
              </w:divBdr>
              <w:divsChild>
                <w:div w:id="2019456136">
                  <w:marLeft w:val="0"/>
                  <w:marRight w:val="0"/>
                  <w:marTop w:val="0"/>
                  <w:marBottom w:val="0"/>
                  <w:divBdr>
                    <w:top w:val="none" w:sz="0" w:space="0" w:color="auto"/>
                    <w:left w:val="none" w:sz="0" w:space="0" w:color="auto"/>
                    <w:bottom w:val="none" w:sz="0" w:space="0" w:color="auto"/>
                    <w:right w:val="none" w:sz="0" w:space="0" w:color="auto"/>
                  </w:divBdr>
                  <w:divsChild>
                    <w:div w:id="1080062250">
                      <w:marLeft w:val="0"/>
                      <w:marRight w:val="0"/>
                      <w:marTop w:val="0"/>
                      <w:marBottom w:val="0"/>
                      <w:divBdr>
                        <w:top w:val="none" w:sz="0" w:space="0" w:color="auto"/>
                        <w:left w:val="none" w:sz="0" w:space="0" w:color="auto"/>
                        <w:bottom w:val="none" w:sz="0" w:space="0" w:color="auto"/>
                        <w:right w:val="none" w:sz="0" w:space="0" w:color="auto"/>
                      </w:divBdr>
                      <w:divsChild>
                        <w:div w:id="1181509184">
                          <w:marLeft w:val="0"/>
                          <w:marRight w:val="0"/>
                          <w:marTop w:val="0"/>
                          <w:marBottom w:val="0"/>
                          <w:divBdr>
                            <w:top w:val="none" w:sz="0" w:space="0" w:color="auto"/>
                            <w:left w:val="none" w:sz="0" w:space="0" w:color="auto"/>
                            <w:bottom w:val="none" w:sz="0" w:space="0" w:color="auto"/>
                            <w:right w:val="none" w:sz="0" w:space="0" w:color="auto"/>
                          </w:divBdr>
                          <w:divsChild>
                            <w:div w:id="328219711">
                              <w:marLeft w:val="0"/>
                              <w:marRight w:val="0"/>
                              <w:marTop w:val="0"/>
                              <w:marBottom w:val="0"/>
                              <w:divBdr>
                                <w:top w:val="none" w:sz="0" w:space="0" w:color="auto"/>
                                <w:left w:val="none" w:sz="0" w:space="0" w:color="auto"/>
                                <w:bottom w:val="none" w:sz="0" w:space="0" w:color="auto"/>
                                <w:right w:val="none" w:sz="0" w:space="0" w:color="auto"/>
                              </w:divBdr>
                              <w:divsChild>
                                <w:div w:id="651565041">
                                  <w:marLeft w:val="0"/>
                                  <w:marRight w:val="0"/>
                                  <w:marTop w:val="0"/>
                                  <w:marBottom w:val="0"/>
                                  <w:divBdr>
                                    <w:top w:val="none" w:sz="0" w:space="0" w:color="auto"/>
                                    <w:left w:val="none" w:sz="0" w:space="0" w:color="auto"/>
                                    <w:bottom w:val="none" w:sz="0" w:space="0" w:color="auto"/>
                                    <w:right w:val="none" w:sz="0" w:space="0" w:color="auto"/>
                                  </w:divBdr>
                                  <w:divsChild>
                                    <w:div w:id="1694189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0823536">
                          <w:marLeft w:val="0"/>
                          <w:marRight w:val="0"/>
                          <w:marTop w:val="0"/>
                          <w:marBottom w:val="0"/>
                          <w:divBdr>
                            <w:top w:val="none" w:sz="0" w:space="0" w:color="auto"/>
                            <w:left w:val="none" w:sz="0" w:space="0" w:color="auto"/>
                            <w:bottom w:val="none" w:sz="0" w:space="0" w:color="auto"/>
                            <w:right w:val="none" w:sz="0" w:space="0" w:color="auto"/>
                          </w:divBdr>
                          <w:divsChild>
                            <w:div w:id="2011370236">
                              <w:marLeft w:val="0"/>
                              <w:marRight w:val="0"/>
                              <w:marTop w:val="0"/>
                              <w:marBottom w:val="0"/>
                              <w:divBdr>
                                <w:top w:val="none" w:sz="0" w:space="0" w:color="auto"/>
                                <w:left w:val="none" w:sz="0" w:space="0" w:color="auto"/>
                                <w:bottom w:val="none" w:sz="0" w:space="0" w:color="auto"/>
                                <w:right w:val="none" w:sz="0" w:space="0" w:color="auto"/>
                              </w:divBdr>
                              <w:divsChild>
                                <w:div w:id="1099910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79414718">
      <w:bodyDiv w:val="1"/>
      <w:marLeft w:val="0"/>
      <w:marRight w:val="0"/>
      <w:marTop w:val="0"/>
      <w:marBottom w:val="0"/>
      <w:divBdr>
        <w:top w:val="none" w:sz="0" w:space="0" w:color="auto"/>
        <w:left w:val="none" w:sz="0" w:space="0" w:color="auto"/>
        <w:bottom w:val="none" w:sz="0" w:space="0" w:color="auto"/>
        <w:right w:val="none" w:sz="0" w:space="0" w:color="auto"/>
      </w:divBdr>
      <w:divsChild>
        <w:div w:id="540943237">
          <w:marLeft w:val="0"/>
          <w:marRight w:val="0"/>
          <w:marTop w:val="0"/>
          <w:marBottom w:val="0"/>
          <w:divBdr>
            <w:top w:val="none" w:sz="0" w:space="0" w:color="auto"/>
            <w:left w:val="none" w:sz="0" w:space="0" w:color="auto"/>
            <w:bottom w:val="none" w:sz="0" w:space="0" w:color="auto"/>
            <w:right w:val="none" w:sz="0" w:space="0" w:color="auto"/>
          </w:divBdr>
        </w:div>
        <w:div w:id="998073894">
          <w:marLeft w:val="0"/>
          <w:marRight w:val="0"/>
          <w:marTop w:val="0"/>
          <w:marBottom w:val="0"/>
          <w:divBdr>
            <w:top w:val="none" w:sz="0" w:space="0" w:color="auto"/>
            <w:left w:val="none" w:sz="0" w:space="0" w:color="auto"/>
            <w:bottom w:val="none" w:sz="0" w:space="0" w:color="auto"/>
            <w:right w:val="none" w:sz="0" w:space="0" w:color="auto"/>
          </w:divBdr>
        </w:div>
        <w:div w:id="1351645451">
          <w:marLeft w:val="0"/>
          <w:marRight w:val="0"/>
          <w:marTop w:val="0"/>
          <w:marBottom w:val="0"/>
          <w:divBdr>
            <w:top w:val="none" w:sz="0" w:space="0" w:color="auto"/>
            <w:left w:val="none" w:sz="0" w:space="0" w:color="auto"/>
            <w:bottom w:val="none" w:sz="0" w:space="0" w:color="auto"/>
            <w:right w:val="none" w:sz="0" w:space="0" w:color="auto"/>
          </w:divBdr>
        </w:div>
      </w:divsChild>
    </w:div>
    <w:div w:id="1516797695">
      <w:bodyDiv w:val="1"/>
      <w:marLeft w:val="0"/>
      <w:marRight w:val="0"/>
      <w:marTop w:val="0"/>
      <w:marBottom w:val="0"/>
      <w:divBdr>
        <w:top w:val="none" w:sz="0" w:space="0" w:color="auto"/>
        <w:left w:val="none" w:sz="0" w:space="0" w:color="auto"/>
        <w:bottom w:val="none" w:sz="0" w:space="0" w:color="auto"/>
        <w:right w:val="none" w:sz="0" w:space="0" w:color="auto"/>
      </w:divBdr>
      <w:divsChild>
        <w:div w:id="25838145">
          <w:marLeft w:val="0"/>
          <w:marRight w:val="0"/>
          <w:marTop w:val="0"/>
          <w:marBottom w:val="0"/>
          <w:divBdr>
            <w:top w:val="none" w:sz="0" w:space="0" w:color="auto"/>
            <w:left w:val="none" w:sz="0" w:space="0" w:color="auto"/>
            <w:bottom w:val="none" w:sz="0" w:space="0" w:color="auto"/>
            <w:right w:val="none" w:sz="0" w:space="0" w:color="auto"/>
          </w:divBdr>
          <w:divsChild>
            <w:div w:id="1605649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4898390">
      <w:bodyDiv w:val="1"/>
      <w:marLeft w:val="0"/>
      <w:marRight w:val="0"/>
      <w:marTop w:val="0"/>
      <w:marBottom w:val="0"/>
      <w:divBdr>
        <w:top w:val="none" w:sz="0" w:space="0" w:color="auto"/>
        <w:left w:val="none" w:sz="0" w:space="0" w:color="auto"/>
        <w:bottom w:val="none" w:sz="0" w:space="0" w:color="auto"/>
        <w:right w:val="none" w:sz="0" w:space="0" w:color="auto"/>
      </w:divBdr>
    </w:div>
    <w:div w:id="1542785754">
      <w:bodyDiv w:val="1"/>
      <w:marLeft w:val="0"/>
      <w:marRight w:val="0"/>
      <w:marTop w:val="0"/>
      <w:marBottom w:val="0"/>
      <w:divBdr>
        <w:top w:val="none" w:sz="0" w:space="0" w:color="auto"/>
        <w:left w:val="none" w:sz="0" w:space="0" w:color="auto"/>
        <w:bottom w:val="none" w:sz="0" w:space="0" w:color="auto"/>
        <w:right w:val="none" w:sz="0" w:space="0" w:color="auto"/>
      </w:divBdr>
    </w:div>
    <w:div w:id="1555654010">
      <w:bodyDiv w:val="1"/>
      <w:marLeft w:val="0"/>
      <w:marRight w:val="0"/>
      <w:marTop w:val="0"/>
      <w:marBottom w:val="0"/>
      <w:divBdr>
        <w:top w:val="none" w:sz="0" w:space="0" w:color="auto"/>
        <w:left w:val="none" w:sz="0" w:space="0" w:color="auto"/>
        <w:bottom w:val="none" w:sz="0" w:space="0" w:color="auto"/>
        <w:right w:val="none" w:sz="0" w:space="0" w:color="auto"/>
      </w:divBdr>
    </w:div>
    <w:div w:id="1582254649">
      <w:bodyDiv w:val="1"/>
      <w:marLeft w:val="0"/>
      <w:marRight w:val="0"/>
      <w:marTop w:val="0"/>
      <w:marBottom w:val="0"/>
      <w:divBdr>
        <w:top w:val="none" w:sz="0" w:space="0" w:color="auto"/>
        <w:left w:val="none" w:sz="0" w:space="0" w:color="auto"/>
        <w:bottom w:val="none" w:sz="0" w:space="0" w:color="auto"/>
        <w:right w:val="none" w:sz="0" w:space="0" w:color="auto"/>
      </w:divBdr>
      <w:divsChild>
        <w:div w:id="1438478383">
          <w:marLeft w:val="0"/>
          <w:marRight w:val="0"/>
          <w:marTop w:val="0"/>
          <w:marBottom w:val="0"/>
          <w:divBdr>
            <w:top w:val="none" w:sz="0" w:space="0" w:color="auto"/>
            <w:left w:val="none" w:sz="0" w:space="0" w:color="auto"/>
            <w:bottom w:val="none" w:sz="0" w:space="0" w:color="auto"/>
            <w:right w:val="none" w:sz="0" w:space="0" w:color="auto"/>
          </w:divBdr>
          <w:divsChild>
            <w:div w:id="730734500">
              <w:marLeft w:val="0"/>
              <w:marRight w:val="0"/>
              <w:marTop w:val="0"/>
              <w:marBottom w:val="0"/>
              <w:divBdr>
                <w:top w:val="none" w:sz="0" w:space="0" w:color="auto"/>
                <w:left w:val="none" w:sz="0" w:space="0" w:color="auto"/>
                <w:bottom w:val="none" w:sz="0" w:space="0" w:color="auto"/>
                <w:right w:val="none" w:sz="0" w:space="0" w:color="auto"/>
              </w:divBdr>
              <w:divsChild>
                <w:div w:id="522327760">
                  <w:marLeft w:val="0"/>
                  <w:marRight w:val="0"/>
                  <w:marTop w:val="0"/>
                  <w:marBottom w:val="0"/>
                  <w:divBdr>
                    <w:top w:val="none" w:sz="0" w:space="0" w:color="auto"/>
                    <w:left w:val="none" w:sz="0" w:space="0" w:color="auto"/>
                    <w:bottom w:val="none" w:sz="0" w:space="0" w:color="auto"/>
                    <w:right w:val="none" w:sz="0" w:space="0" w:color="auto"/>
                  </w:divBdr>
                  <w:divsChild>
                    <w:div w:id="1800687896">
                      <w:marLeft w:val="0"/>
                      <w:marRight w:val="0"/>
                      <w:marTop w:val="0"/>
                      <w:marBottom w:val="0"/>
                      <w:divBdr>
                        <w:top w:val="none" w:sz="0" w:space="0" w:color="auto"/>
                        <w:left w:val="none" w:sz="0" w:space="0" w:color="auto"/>
                        <w:bottom w:val="none" w:sz="0" w:space="0" w:color="auto"/>
                        <w:right w:val="none" w:sz="0" w:space="0" w:color="auto"/>
                      </w:divBdr>
                      <w:divsChild>
                        <w:div w:id="570774413">
                          <w:marLeft w:val="0"/>
                          <w:marRight w:val="0"/>
                          <w:marTop w:val="0"/>
                          <w:marBottom w:val="0"/>
                          <w:divBdr>
                            <w:top w:val="none" w:sz="0" w:space="0" w:color="auto"/>
                            <w:left w:val="none" w:sz="0" w:space="0" w:color="auto"/>
                            <w:bottom w:val="none" w:sz="0" w:space="0" w:color="auto"/>
                            <w:right w:val="none" w:sz="0" w:space="0" w:color="auto"/>
                          </w:divBdr>
                          <w:divsChild>
                            <w:div w:id="762454222">
                              <w:marLeft w:val="0"/>
                              <w:marRight w:val="0"/>
                              <w:marTop w:val="0"/>
                              <w:marBottom w:val="0"/>
                              <w:divBdr>
                                <w:top w:val="none" w:sz="0" w:space="0" w:color="auto"/>
                                <w:left w:val="none" w:sz="0" w:space="0" w:color="auto"/>
                                <w:bottom w:val="none" w:sz="0" w:space="0" w:color="auto"/>
                                <w:right w:val="none" w:sz="0" w:space="0" w:color="auto"/>
                              </w:divBdr>
                              <w:divsChild>
                                <w:div w:id="848910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9369314">
                          <w:marLeft w:val="0"/>
                          <w:marRight w:val="0"/>
                          <w:marTop w:val="0"/>
                          <w:marBottom w:val="0"/>
                          <w:divBdr>
                            <w:top w:val="none" w:sz="0" w:space="0" w:color="auto"/>
                            <w:left w:val="none" w:sz="0" w:space="0" w:color="auto"/>
                            <w:bottom w:val="none" w:sz="0" w:space="0" w:color="auto"/>
                            <w:right w:val="none" w:sz="0" w:space="0" w:color="auto"/>
                          </w:divBdr>
                          <w:divsChild>
                            <w:div w:id="1959947238">
                              <w:marLeft w:val="0"/>
                              <w:marRight w:val="0"/>
                              <w:marTop w:val="0"/>
                              <w:marBottom w:val="0"/>
                              <w:divBdr>
                                <w:top w:val="none" w:sz="0" w:space="0" w:color="auto"/>
                                <w:left w:val="none" w:sz="0" w:space="0" w:color="auto"/>
                                <w:bottom w:val="none" w:sz="0" w:space="0" w:color="auto"/>
                                <w:right w:val="none" w:sz="0" w:space="0" w:color="auto"/>
                              </w:divBdr>
                              <w:divsChild>
                                <w:div w:id="1826505616">
                                  <w:marLeft w:val="0"/>
                                  <w:marRight w:val="0"/>
                                  <w:marTop w:val="0"/>
                                  <w:marBottom w:val="0"/>
                                  <w:divBdr>
                                    <w:top w:val="none" w:sz="0" w:space="0" w:color="auto"/>
                                    <w:left w:val="none" w:sz="0" w:space="0" w:color="auto"/>
                                    <w:bottom w:val="none" w:sz="0" w:space="0" w:color="auto"/>
                                    <w:right w:val="none" w:sz="0" w:space="0" w:color="auto"/>
                                  </w:divBdr>
                                  <w:divsChild>
                                    <w:div w:id="180908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9338210">
      <w:bodyDiv w:val="1"/>
      <w:marLeft w:val="0"/>
      <w:marRight w:val="0"/>
      <w:marTop w:val="0"/>
      <w:marBottom w:val="0"/>
      <w:divBdr>
        <w:top w:val="none" w:sz="0" w:space="0" w:color="auto"/>
        <w:left w:val="none" w:sz="0" w:space="0" w:color="auto"/>
        <w:bottom w:val="none" w:sz="0" w:space="0" w:color="auto"/>
        <w:right w:val="none" w:sz="0" w:space="0" w:color="auto"/>
      </w:divBdr>
    </w:div>
    <w:div w:id="1624654107">
      <w:bodyDiv w:val="1"/>
      <w:marLeft w:val="0"/>
      <w:marRight w:val="0"/>
      <w:marTop w:val="0"/>
      <w:marBottom w:val="0"/>
      <w:divBdr>
        <w:top w:val="none" w:sz="0" w:space="0" w:color="auto"/>
        <w:left w:val="none" w:sz="0" w:space="0" w:color="auto"/>
        <w:bottom w:val="none" w:sz="0" w:space="0" w:color="auto"/>
        <w:right w:val="none" w:sz="0" w:space="0" w:color="auto"/>
      </w:divBdr>
    </w:div>
    <w:div w:id="1629437786">
      <w:bodyDiv w:val="1"/>
      <w:marLeft w:val="0"/>
      <w:marRight w:val="0"/>
      <w:marTop w:val="0"/>
      <w:marBottom w:val="0"/>
      <w:divBdr>
        <w:top w:val="none" w:sz="0" w:space="0" w:color="auto"/>
        <w:left w:val="none" w:sz="0" w:space="0" w:color="auto"/>
        <w:bottom w:val="none" w:sz="0" w:space="0" w:color="auto"/>
        <w:right w:val="none" w:sz="0" w:space="0" w:color="auto"/>
      </w:divBdr>
      <w:divsChild>
        <w:div w:id="1656835020">
          <w:marLeft w:val="0"/>
          <w:marRight w:val="0"/>
          <w:marTop w:val="0"/>
          <w:marBottom w:val="0"/>
          <w:divBdr>
            <w:top w:val="none" w:sz="0" w:space="0" w:color="auto"/>
            <w:left w:val="none" w:sz="0" w:space="0" w:color="auto"/>
            <w:bottom w:val="none" w:sz="0" w:space="0" w:color="auto"/>
            <w:right w:val="none" w:sz="0" w:space="0" w:color="auto"/>
          </w:divBdr>
          <w:divsChild>
            <w:div w:id="830607107">
              <w:marLeft w:val="0"/>
              <w:marRight w:val="0"/>
              <w:marTop w:val="0"/>
              <w:marBottom w:val="0"/>
              <w:divBdr>
                <w:top w:val="none" w:sz="0" w:space="0" w:color="auto"/>
                <w:left w:val="none" w:sz="0" w:space="0" w:color="auto"/>
                <w:bottom w:val="none" w:sz="0" w:space="0" w:color="auto"/>
                <w:right w:val="none" w:sz="0" w:space="0" w:color="auto"/>
              </w:divBdr>
              <w:divsChild>
                <w:div w:id="2036884488">
                  <w:marLeft w:val="0"/>
                  <w:marRight w:val="0"/>
                  <w:marTop w:val="0"/>
                  <w:marBottom w:val="0"/>
                  <w:divBdr>
                    <w:top w:val="none" w:sz="0" w:space="0" w:color="auto"/>
                    <w:left w:val="none" w:sz="0" w:space="0" w:color="auto"/>
                    <w:bottom w:val="none" w:sz="0" w:space="0" w:color="auto"/>
                    <w:right w:val="none" w:sz="0" w:space="0" w:color="auto"/>
                  </w:divBdr>
                  <w:divsChild>
                    <w:div w:id="804813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535790">
      <w:bodyDiv w:val="1"/>
      <w:marLeft w:val="0"/>
      <w:marRight w:val="0"/>
      <w:marTop w:val="0"/>
      <w:marBottom w:val="0"/>
      <w:divBdr>
        <w:top w:val="none" w:sz="0" w:space="0" w:color="auto"/>
        <w:left w:val="none" w:sz="0" w:space="0" w:color="auto"/>
        <w:bottom w:val="none" w:sz="0" w:space="0" w:color="auto"/>
        <w:right w:val="none" w:sz="0" w:space="0" w:color="auto"/>
      </w:divBdr>
      <w:divsChild>
        <w:div w:id="1049916954">
          <w:marLeft w:val="0"/>
          <w:marRight w:val="0"/>
          <w:marTop w:val="0"/>
          <w:marBottom w:val="0"/>
          <w:divBdr>
            <w:top w:val="none" w:sz="0" w:space="0" w:color="auto"/>
            <w:left w:val="none" w:sz="0" w:space="0" w:color="auto"/>
            <w:bottom w:val="none" w:sz="0" w:space="0" w:color="auto"/>
            <w:right w:val="none" w:sz="0" w:space="0" w:color="auto"/>
          </w:divBdr>
          <w:divsChild>
            <w:div w:id="1464738019">
              <w:marLeft w:val="0"/>
              <w:marRight w:val="0"/>
              <w:marTop w:val="0"/>
              <w:marBottom w:val="0"/>
              <w:divBdr>
                <w:top w:val="none" w:sz="0" w:space="0" w:color="auto"/>
                <w:left w:val="none" w:sz="0" w:space="0" w:color="auto"/>
                <w:bottom w:val="none" w:sz="0" w:space="0" w:color="auto"/>
                <w:right w:val="none" w:sz="0" w:space="0" w:color="auto"/>
              </w:divBdr>
              <w:divsChild>
                <w:div w:id="1385324276">
                  <w:marLeft w:val="0"/>
                  <w:marRight w:val="0"/>
                  <w:marTop w:val="0"/>
                  <w:marBottom w:val="0"/>
                  <w:divBdr>
                    <w:top w:val="none" w:sz="0" w:space="0" w:color="auto"/>
                    <w:left w:val="none" w:sz="0" w:space="0" w:color="auto"/>
                    <w:bottom w:val="none" w:sz="0" w:space="0" w:color="auto"/>
                    <w:right w:val="none" w:sz="0" w:space="0" w:color="auto"/>
                  </w:divBdr>
                  <w:divsChild>
                    <w:div w:id="1887250644">
                      <w:marLeft w:val="0"/>
                      <w:marRight w:val="0"/>
                      <w:marTop w:val="0"/>
                      <w:marBottom w:val="0"/>
                      <w:divBdr>
                        <w:top w:val="none" w:sz="0" w:space="0" w:color="auto"/>
                        <w:left w:val="none" w:sz="0" w:space="0" w:color="auto"/>
                        <w:bottom w:val="none" w:sz="0" w:space="0" w:color="auto"/>
                        <w:right w:val="none" w:sz="0" w:space="0" w:color="auto"/>
                      </w:divBdr>
                      <w:divsChild>
                        <w:div w:id="525796045">
                          <w:marLeft w:val="0"/>
                          <w:marRight w:val="0"/>
                          <w:marTop w:val="0"/>
                          <w:marBottom w:val="0"/>
                          <w:divBdr>
                            <w:top w:val="none" w:sz="0" w:space="0" w:color="auto"/>
                            <w:left w:val="none" w:sz="0" w:space="0" w:color="auto"/>
                            <w:bottom w:val="none" w:sz="0" w:space="0" w:color="auto"/>
                            <w:right w:val="none" w:sz="0" w:space="0" w:color="auto"/>
                          </w:divBdr>
                          <w:divsChild>
                            <w:div w:id="1945916716">
                              <w:marLeft w:val="0"/>
                              <w:marRight w:val="0"/>
                              <w:marTop w:val="0"/>
                              <w:marBottom w:val="0"/>
                              <w:divBdr>
                                <w:top w:val="none" w:sz="0" w:space="0" w:color="auto"/>
                                <w:left w:val="none" w:sz="0" w:space="0" w:color="auto"/>
                                <w:bottom w:val="none" w:sz="0" w:space="0" w:color="auto"/>
                                <w:right w:val="none" w:sz="0" w:space="0" w:color="auto"/>
                              </w:divBdr>
                              <w:divsChild>
                                <w:div w:id="260183258">
                                  <w:marLeft w:val="0"/>
                                  <w:marRight w:val="0"/>
                                  <w:marTop w:val="0"/>
                                  <w:marBottom w:val="0"/>
                                  <w:divBdr>
                                    <w:top w:val="none" w:sz="0" w:space="0" w:color="auto"/>
                                    <w:left w:val="none" w:sz="0" w:space="0" w:color="auto"/>
                                    <w:bottom w:val="none" w:sz="0" w:space="0" w:color="auto"/>
                                    <w:right w:val="none" w:sz="0" w:space="0" w:color="auto"/>
                                  </w:divBdr>
                                  <w:divsChild>
                                    <w:div w:id="622267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842796">
                          <w:marLeft w:val="0"/>
                          <w:marRight w:val="0"/>
                          <w:marTop w:val="0"/>
                          <w:marBottom w:val="0"/>
                          <w:divBdr>
                            <w:top w:val="none" w:sz="0" w:space="0" w:color="auto"/>
                            <w:left w:val="none" w:sz="0" w:space="0" w:color="auto"/>
                            <w:bottom w:val="none" w:sz="0" w:space="0" w:color="auto"/>
                            <w:right w:val="none" w:sz="0" w:space="0" w:color="auto"/>
                          </w:divBdr>
                          <w:divsChild>
                            <w:div w:id="1705405107">
                              <w:marLeft w:val="0"/>
                              <w:marRight w:val="0"/>
                              <w:marTop w:val="0"/>
                              <w:marBottom w:val="0"/>
                              <w:divBdr>
                                <w:top w:val="none" w:sz="0" w:space="0" w:color="auto"/>
                                <w:left w:val="none" w:sz="0" w:space="0" w:color="auto"/>
                                <w:bottom w:val="none" w:sz="0" w:space="0" w:color="auto"/>
                                <w:right w:val="none" w:sz="0" w:space="0" w:color="auto"/>
                              </w:divBdr>
                              <w:divsChild>
                                <w:div w:id="1963223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7487941">
      <w:bodyDiv w:val="1"/>
      <w:marLeft w:val="0"/>
      <w:marRight w:val="0"/>
      <w:marTop w:val="0"/>
      <w:marBottom w:val="0"/>
      <w:divBdr>
        <w:top w:val="none" w:sz="0" w:space="0" w:color="auto"/>
        <w:left w:val="none" w:sz="0" w:space="0" w:color="auto"/>
        <w:bottom w:val="none" w:sz="0" w:space="0" w:color="auto"/>
        <w:right w:val="none" w:sz="0" w:space="0" w:color="auto"/>
      </w:divBdr>
      <w:divsChild>
        <w:div w:id="320744030">
          <w:marLeft w:val="0"/>
          <w:marRight w:val="0"/>
          <w:marTop w:val="0"/>
          <w:marBottom w:val="0"/>
          <w:divBdr>
            <w:top w:val="none" w:sz="0" w:space="0" w:color="auto"/>
            <w:left w:val="none" w:sz="0" w:space="0" w:color="auto"/>
            <w:bottom w:val="none" w:sz="0" w:space="0" w:color="auto"/>
            <w:right w:val="none" w:sz="0" w:space="0" w:color="auto"/>
          </w:divBdr>
        </w:div>
        <w:div w:id="667292263">
          <w:marLeft w:val="0"/>
          <w:marRight w:val="0"/>
          <w:marTop w:val="0"/>
          <w:marBottom w:val="0"/>
          <w:divBdr>
            <w:top w:val="none" w:sz="0" w:space="0" w:color="auto"/>
            <w:left w:val="none" w:sz="0" w:space="0" w:color="auto"/>
            <w:bottom w:val="none" w:sz="0" w:space="0" w:color="auto"/>
            <w:right w:val="none" w:sz="0" w:space="0" w:color="auto"/>
          </w:divBdr>
        </w:div>
        <w:div w:id="825901636">
          <w:marLeft w:val="0"/>
          <w:marRight w:val="0"/>
          <w:marTop w:val="0"/>
          <w:marBottom w:val="0"/>
          <w:divBdr>
            <w:top w:val="none" w:sz="0" w:space="0" w:color="auto"/>
            <w:left w:val="none" w:sz="0" w:space="0" w:color="auto"/>
            <w:bottom w:val="none" w:sz="0" w:space="0" w:color="auto"/>
            <w:right w:val="none" w:sz="0" w:space="0" w:color="auto"/>
          </w:divBdr>
        </w:div>
        <w:div w:id="1420370542">
          <w:marLeft w:val="0"/>
          <w:marRight w:val="0"/>
          <w:marTop w:val="0"/>
          <w:marBottom w:val="0"/>
          <w:divBdr>
            <w:top w:val="none" w:sz="0" w:space="0" w:color="auto"/>
            <w:left w:val="none" w:sz="0" w:space="0" w:color="auto"/>
            <w:bottom w:val="none" w:sz="0" w:space="0" w:color="auto"/>
            <w:right w:val="none" w:sz="0" w:space="0" w:color="auto"/>
          </w:divBdr>
        </w:div>
        <w:div w:id="1626962144">
          <w:marLeft w:val="0"/>
          <w:marRight w:val="0"/>
          <w:marTop w:val="0"/>
          <w:marBottom w:val="0"/>
          <w:divBdr>
            <w:top w:val="none" w:sz="0" w:space="0" w:color="auto"/>
            <w:left w:val="none" w:sz="0" w:space="0" w:color="auto"/>
            <w:bottom w:val="none" w:sz="0" w:space="0" w:color="auto"/>
            <w:right w:val="none" w:sz="0" w:space="0" w:color="auto"/>
          </w:divBdr>
        </w:div>
        <w:div w:id="1680500402">
          <w:marLeft w:val="0"/>
          <w:marRight w:val="0"/>
          <w:marTop w:val="0"/>
          <w:marBottom w:val="0"/>
          <w:divBdr>
            <w:top w:val="none" w:sz="0" w:space="0" w:color="auto"/>
            <w:left w:val="none" w:sz="0" w:space="0" w:color="auto"/>
            <w:bottom w:val="none" w:sz="0" w:space="0" w:color="auto"/>
            <w:right w:val="none" w:sz="0" w:space="0" w:color="auto"/>
          </w:divBdr>
        </w:div>
        <w:div w:id="1718626900">
          <w:marLeft w:val="0"/>
          <w:marRight w:val="0"/>
          <w:marTop w:val="0"/>
          <w:marBottom w:val="0"/>
          <w:divBdr>
            <w:top w:val="none" w:sz="0" w:space="0" w:color="auto"/>
            <w:left w:val="none" w:sz="0" w:space="0" w:color="auto"/>
            <w:bottom w:val="none" w:sz="0" w:space="0" w:color="auto"/>
            <w:right w:val="none" w:sz="0" w:space="0" w:color="auto"/>
          </w:divBdr>
        </w:div>
      </w:divsChild>
    </w:div>
    <w:div w:id="1660689164">
      <w:bodyDiv w:val="1"/>
      <w:marLeft w:val="0"/>
      <w:marRight w:val="0"/>
      <w:marTop w:val="0"/>
      <w:marBottom w:val="0"/>
      <w:divBdr>
        <w:top w:val="none" w:sz="0" w:space="0" w:color="auto"/>
        <w:left w:val="none" w:sz="0" w:space="0" w:color="auto"/>
        <w:bottom w:val="none" w:sz="0" w:space="0" w:color="auto"/>
        <w:right w:val="none" w:sz="0" w:space="0" w:color="auto"/>
      </w:divBdr>
      <w:divsChild>
        <w:div w:id="40784481">
          <w:marLeft w:val="0"/>
          <w:marRight w:val="0"/>
          <w:marTop w:val="0"/>
          <w:marBottom w:val="0"/>
          <w:divBdr>
            <w:top w:val="none" w:sz="0" w:space="0" w:color="auto"/>
            <w:left w:val="none" w:sz="0" w:space="0" w:color="auto"/>
            <w:bottom w:val="none" w:sz="0" w:space="0" w:color="auto"/>
            <w:right w:val="none" w:sz="0" w:space="0" w:color="auto"/>
          </w:divBdr>
          <w:divsChild>
            <w:div w:id="910312973">
              <w:marLeft w:val="0"/>
              <w:marRight w:val="0"/>
              <w:marTop w:val="0"/>
              <w:marBottom w:val="0"/>
              <w:divBdr>
                <w:top w:val="none" w:sz="0" w:space="0" w:color="auto"/>
                <w:left w:val="none" w:sz="0" w:space="0" w:color="auto"/>
                <w:bottom w:val="none" w:sz="0" w:space="0" w:color="auto"/>
                <w:right w:val="none" w:sz="0" w:space="0" w:color="auto"/>
              </w:divBdr>
            </w:div>
          </w:divsChild>
        </w:div>
        <w:div w:id="108818427">
          <w:marLeft w:val="0"/>
          <w:marRight w:val="0"/>
          <w:marTop w:val="0"/>
          <w:marBottom w:val="0"/>
          <w:divBdr>
            <w:top w:val="none" w:sz="0" w:space="0" w:color="auto"/>
            <w:left w:val="none" w:sz="0" w:space="0" w:color="auto"/>
            <w:bottom w:val="none" w:sz="0" w:space="0" w:color="auto"/>
            <w:right w:val="none" w:sz="0" w:space="0" w:color="auto"/>
          </w:divBdr>
          <w:divsChild>
            <w:div w:id="362093497">
              <w:marLeft w:val="0"/>
              <w:marRight w:val="0"/>
              <w:marTop w:val="0"/>
              <w:marBottom w:val="0"/>
              <w:divBdr>
                <w:top w:val="none" w:sz="0" w:space="0" w:color="auto"/>
                <w:left w:val="none" w:sz="0" w:space="0" w:color="auto"/>
                <w:bottom w:val="none" w:sz="0" w:space="0" w:color="auto"/>
                <w:right w:val="none" w:sz="0" w:space="0" w:color="auto"/>
              </w:divBdr>
            </w:div>
          </w:divsChild>
        </w:div>
        <w:div w:id="318505851">
          <w:marLeft w:val="0"/>
          <w:marRight w:val="0"/>
          <w:marTop w:val="0"/>
          <w:marBottom w:val="0"/>
          <w:divBdr>
            <w:top w:val="none" w:sz="0" w:space="0" w:color="auto"/>
            <w:left w:val="none" w:sz="0" w:space="0" w:color="auto"/>
            <w:bottom w:val="none" w:sz="0" w:space="0" w:color="auto"/>
            <w:right w:val="none" w:sz="0" w:space="0" w:color="auto"/>
          </w:divBdr>
          <w:divsChild>
            <w:div w:id="846603083">
              <w:marLeft w:val="0"/>
              <w:marRight w:val="0"/>
              <w:marTop w:val="0"/>
              <w:marBottom w:val="0"/>
              <w:divBdr>
                <w:top w:val="none" w:sz="0" w:space="0" w:color="auto"/>
                <w:left w:val="none" w:sz="0" w:space="0" w:color="auto"/>
                <w:bottom w:val="none" w:sz="0" w:space="0" w:color="auto"/>
                <w:right w:val="none" w:sz="0" w:space="0" w:color="auto"/>
              </w:divBdr>
            </w:div>
          </w:divsChild>
        </w:div>
        <w:div w:id="364254071">
          <w:marLeft w:val="0"/>
          <w:marRight w:val="0"/>
          <w:marTop w:val="0"/>
          <w:marBottom w:val="0"/>
          <w:divBdr>
            <w:top w:val="none" w:sz="0" w:space="0" w:color="auto"/>
            <w:left w:val="none" w:sz="0" w:space="0" w:color="auto"/>
            <w:bottom w:val="none" w:sz="0" w:space="0" w:color="auto"/>
            <w:right w:val="none" w:sz="0" w:space="0" w:color="auto"/>
          </w:divBdr>
          <w:divsChild>
            <w:div w:id="673848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672038">
      <w:bodyDiv w:val="1"/>
      <w:marLeft w:val="0"/>
      <w:marRight w:val="0"/>
      <w:marTop w:val="0"/>
      <w:marBottom w:val="0"/>
      <w:divBdr>
        <w:top w:val="none" w:sz="0" w:space="0" w:color="auto"/>
        <w:left w:val="none" w:sz="0" w:space="0" w:color="auto"/>
        <w:bottom w:val="none" w:sz="0" w:space="0" w:color="auto"/>
        <w:right w:val="none" w:sz="0" w:space="0" w:color="auto"/>
      </w:divBdr>
      <w:divsChild>
        <w:div w:id="221984334">
          <w:marLeft w:val="0"/>
          <w:marRight w:val="0"/>
          <w:marTop w:val="0"/>
          <w:marBottom w:val="0"/>
          <w:divBdr>
            <w:top w:val="none" w:sz="0" w:space="0" w:color="auto"/>
            <w:left w:val="none" w:sz="0" w:space="0" w:color="auto"/>
            <w:bottom w:val="none" w:sz="0" w:space="0" w:color="auto"/>
            <w:right w:val="none" w:sz="0" w:space="0" w:color="auto"/>
          </w:divBdr>
          <w:divsChild>
            <w:div w:id="153762036">
              <w:marLeft w:val="0"/>
              <w:marRight w:val="0"/>
              <w:marTop w:val="0"/>
              <w:marBottom w:val="0"/>
              <w:divBdr>
                <w:top w:val="none" w:sz="0" w:space="0" w:color="auto"/>
                <w:left w:val="none" w:sz="0" w:space="0" w:color="auto"/>
                <w:bottom w:val="none" w:sz="0" w:space="0" w:color="auto"/>
                <w:right w:val="none" w:sz="0" w:space="0" w:color="auto"/>
              </w:divBdr>
              <w:divsChild>
                <w:div w:id="1426221307">
                  <w:marLeft w:val="0"/>
                  <w:marRight w:val="0"/>
                  <w:marTop w:val="0"/>
                  <w:marBottom w:val="0"/>
                  <w:divBdr>
                    <w:top w:val="none" w:sz="0" w:space="0" w:color="auto"/>
                    <w:left w:val="none" w:sz="0" w:space="0" w:color="auto"/>
                    <w:bottom w:val="none" w:sz="0" w:space="0" w:color="auto"/>
                    <w:right w:val="none" w:sz="0" w:space="0" w:color="auto"/>
                  </w:divBdr>
                  <w:divsChild>
                    <w:div w:id="149399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1688221">
      <w:bodyDiv w:val="1"/>
      <w:marLeft w:val="0"/>
      <w:marRight w:val="0"/>
      <w:marTop w:val="0"/>
      <w:marBottom w:val="0"/>
      <w:divBdr>
        <w:top w:val="none" w:sz="0" w:space="0" w:color="auto"/>
        <w:left w:val="none" w:sz="0" w:space="0" w:color="auto"/>
        <w:bottom w:val="none" w:sz="0" w:space="0" w:color="auto"/>
        <w:right w:val="none" w:sz="0" w:space="0" w:color="auto"/>
      </w:divBdr>
    </w:div>
    <w:div w:id="1713264967">
      <w:bodyDiv w:val="1"/>
      <w:marLeft w:val="0"/>
      <w:marRight w:val="0"/>
      <w:marTop w:val="0"/>
      <w:marBottom w:val="0"/>
      <w:divBdr>
        <w:top w:val="none" w:sz="0" w:space="0" w:color="auto"/>
        <w:left w:val="none" w:sz="0" w:space="0" w:color="auto"/>
        <w:bottom w:val="none" w:sz="0" w:space="0" w:color="auto"/>
        <w:right w:val="none" w:sz="0" w:space="0" w:color="auto"/>
      </w:divBdr>
    </w:div>
    <w:div w:id="1713919564">
      <w:bodyDiv w:val="1"/>
      <w:marLeft w:val="0"/>
      <w:marRight w:val="0"/>
      <w:marTop w:val="0"/>
      <w:marBottom w:val="0"/>
      <w:divBdr>
        <w:top w:val="none" w:sz="0" w:space="0" w:color="auto"/>
        <w:left w:val="none" w:sz="0" w:space="0" w:color="auto"/>
        <w:bottom w:val="none" w:sz="0" w:space="0" w:color="auto"/>
        <w:right w:val="none" w:sz="0" w:space="0" w:color="auto"/>
      </w:divBdr>
      <w:divsChild>
        <w:div w:id="127742625">
          <w:marLeft w:val="0"/>
          <w:marRight w:val="0"/>
          <w:marTop w:val="0"/>
          <w:marBottom w:val="0"/>
          <w:divBdr>
            <w:top w:val="none" w:sz="0" w:space="0" w:color="auto"/>
            <w:left w:val="none" w:sz="0" w:space="0" w:color="auto"/>
            <w:bottom w:val="none" w:sz="0" w:space="0" w:color="auto"/>
            <w:right w:val="none" w:sz="0" w:space="0" w:color="auto"/>
          </w:divBdr>
          <w:divsChild>
            <w:div w:id="369956956">
              <w:marLeft w:val="0"/>
              <w:marRight w:val="0"/>
              <w:marTop w:val="0"/>
              <w:marBottom w:val="0"/>
              <w:divBdr>
                <w:top w:val="none" w:sz="0" w:space="0" w:color="auto"/>
                <w:left w:val="none" w:sz="0" w:space="0" w:color="auto"/>
                <w:bottom w:val="none" w:sz="0" w:space="0" w:color="auto"/>
                <w:right w:val="none" w:sz="0" w:space="0" w:color="auto"/>
              </w:divBdr>
            </w:div>
          </w:divsChild>
        </w:div>
        <w:div w:id="997001703">
          <w:marLeft w:val="0"/>
          <w:marRight w:val="0"/>
          <w:marTop w:val="0"/>
          <w:marBottom w:val="0"/>
          <w:divBdr>
            <w:top w:val="none" w:sz="0" w:space="0" w:color="auto"/>
            <w:left w:val="none" w:sz="0" w:space="0" w:color="auto"/>
            <w:bottom w:val="none" w:sz="0" w:space="0" w:color="auto"/>
            <w:right w:val="none" w:sz="0" w:space="0" w:color="auto"/>
          </w:divBdr>
          <w:divsChild>
            <w:div w:id="2135361898">
              <w:marLeft w:val="0"/>
              <w:marRight w:val="0"/>
              <w:marTop w:val="0"/>
              <w:marBottom w:val="0"/>
              <w:divBdr>
                <w:top w:val="none" w:sz="0" w:space="0" w:color="auto"/>
                <w:left w:val="none" w:sz="0" w:space="0" w:color="auto"/>
                <w:bottom w:val="none" w:sz="0" w:space="0" w:color="auto"/>
                <w:right w:val="none" w:sz="0" w:space="0" w:color="auto"/>
              </w:divBdr>
            </w:div>
          </w:divsChild>
        </w:div>
        <w:div w:id="1487281668">
          <w:marLeft w:val="0"/>
          <w:marRight w:val="0"/>
          <w:marTop w:val="0"/>
          <w:marBottom w:val="0"/>
          <w:divBdr>
            <w:top w:val="none" w:sz="0" w:space="0" w:color="auto"/>
            <w:left w:val="none" w:sz="0" w:space="0" w:color="auto"/>
            <w:bottom w:val="none" w:sz="0" w:space="0" w:color="auto"/>
            <w:right w:val="none" w:sz="0" w:space="0" w:color="auto"/>
          </w:divBdr>
          <w:divsChild>
            <w:div w:id="574365157">
              <w:marLeft w:val="0"/>
              <w:marRight w:val="0"/>
              <w:marTop w:val="0"/>
              <w:marBottom w:val="0"/>
              <w:divBdr>
                <w:top w:val="none" w:sz="0" w:space="0" w:color="auto"/>
                <w:left w:val="none" w:sz="0" w:space="0" w:color="auto"/>
                <w:bottom w:val="none" w:sz="0" w:space="0" w:color="auto"/>
                <w:right w:val="none" w:sz="0" w:space="0" w:color="auto"/>
              </w:divBdr>
            </w:div>
          </w:divsChild>
        </w:div>
        <w:div w:id="1582328445">
          <w:marLeft w:val="0"/>
          <w:marRight w:val="0"/>
          <w:marTop w:val="0"/>
          <w:marBottom w:val="0"/>
          <w:divBdr>
            <w:top w:val="none" w:sz="0" w:space="0" w:color="auto"/>
            <w:left w:val="none" w:sz="0" w:space="0" w:color="auto"/>
            <w:bottom w:val="none" w:sz="0" w:space="0" w:color="auto"/>
            <w:right w:val="none" w:sz="0" w:space="0" w:color="auto"/>
          </w:divBdr>
          <w:divsChild>
            <w:div w:id="32270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541626">
      <w:bodyDiv w:val="1"/>
      <w:marLeft w:val="0"/>
      <w:marRight w:val="0"/>
      <w:marTop w:val="0"/>
      <w:marBottom w:val="0"/>
      <w:divBdr>
        <w:top w:val="none" w:sz="0" w:space="0" w:color="auto"/>
        <w:left w:val="none" w:sz="0" w:space="0" w:color="auto"/>
        <w:bottom w:val="none" w:sz="0" w:space="0" w:color="auto"/>
        <w:right w:val="none" w:sz="0" w:space="0" w:color="auto"/>
      </w:divBdr>
    </w:div>
    <w:div w:id="1755280298">
      <w:bodyDiv w:val="1"/>
      <w:marLeft w:val="0"/>
      <w:marRight w:val="0"/>
      <w:marTop w:val="0"/>
      <w:marBottom w:val="0"/>
      <w:divBdr>
        <w:top w:val="none" w:sz="0" w:space="0" w:color="auto"/>
        <w:left w:val="none" w:sz="0" w:space="0" w:color="auto"/>
        <w:bottom w:val="none" w:sz="0" w:space="0" w:color="auto"/>
        <w:right w:val="none" w:sz="0" w:space="0" w:color="auto"/>
      </w:divBdr>
    </w:div>
    <w:div w:id="1768235797">
      <w:bodyDiv w:val="1"/>
      <w:marLeft w:val="0"/>
      <w:marRight w:val="0"/>
      <w:marTop w:val="0"/>
      <w:marBottom w:val="0"/>
      <w:divBdr>
        <w:top w:val="none" w:sz="0" w:space="0" w:color="auto"/>
        <w:left w:val="none" w:sz="0" w:space="0" w:color="auto"/>
        <w:bottom w:val="none" w:sz="0" w:space="0" w:color="auto"/>
        <w:right w:val="none" w:sz="0" w:space="0" w:color="auto"/>
      </w:divBdr>
    </w:div>
    <w:div w:id="1783499826">
      <w:bodyDiv w:val="1"/>
      <w:marLeft w:val="0"/>
      <w:marRight w:val="0"/>
      <w:marTop w:val="0"/>
      <w:marBottom w:val="0"/>
      <w:divBdr>
        <w:top w:val="none" w:sz="0" w:space="0" w:color="auto"/>
        <w:left w:val="none" w:sz="0" w:space="0" w:color="auto"/>
        <w:bottom w:val="none" w:sz="0" w:space="0" w:color="auto"/>
        <w:right w:val="none" w:sz="0" w:space="0" w:color="auto"/>
      </w:divBdr>
      <w:divsChild>
        <w:div w:id="726684477">
          <w:marLeft w:val="0"/>
          <w:marRight w:val="0"/>
          <w:marTop w:val="0"/>
          <w:marBottom w:val="0"/>
          <w:divBdr>
            <w:top w:val="none" w:sz="0" w:space="0" w:color="auto"/>
            <w:left w:val="none" w:sz="0" w:space="0" w:color="auto"/>
            <w:bottom w:val="none" w:sz="0" w:space="0" w:color="auto"/>
            <w:right w:val="none" w:sz="0" w:space="0" w:color="auto"/>
          </w:divBdr>
          <w:divsChild>
            <w:div w:id="178546736">
              <w:marLeft w:val="0"/>
              <w:marRight w:val="0"/>
              <w:marTop w:val="0"/>
              <w:marBottom w:val="0"/>
              <w:divBdr>
                <w:top w:val="none" w:sz="0" w:space="0" w:color="auto"/>
                <w:left w:val="none" w:sz="0" w:space="0" w:color="auto"/>
                <w:bottom w:val="none" w:sz="0" w:space="0" w:color="auto"/>
                <w:right w:val="none" w:sz="0" w:space="0" w:color="auto"/>
              </w:divBdr>
              <w:divsChild>
                <w:div w:id="1204172404">
                  <w:marLeft w:val="0"/>
                  <w:marRight w:val="0"/>
                  <w:marTop w:val="0"/>
                  <w:marBottom w:val="0"/>
                  <w:divBdr>
                    <w:top w:val="none" w:sz="0" w:space="0" w:color="auto"/>
                    <w:left w:val="none" w:sz="0" w:space="0" w:color="auto"/>
                    <w:bottom w:val="none" w:sz="0" w:space="0" w:color="auto"/>
                    <w:right w:val="none" w:sz="0" w:space="0" w:color="auto"/>
                  </w:divBdr>
                  <w:divsChild>
                    <w:div w:id="2082288825">
                      <w:marLeft w:val="0"/>
                      <w:marRight w:val="0"/>
                      <w:marTop w:val="0"/>
                      <w:marBottom w:val="0"/>
                      <w:divBdr>
                        <w:top w:val="none" w:sz="0" w:space="0" w:color="auto"/>
                        <w:left w:val="none" w:sz="0" w:space="0" w:color="auto"/>
                        <w:bottom w:val="none" w:sz="0" w:space="0" w:color="auto"/>
                        <w:right w:val="none" w:sz="0" w:space="0" w:color="auto"/>
                      </w:divBdr>
                      <w:divsChild>
                        <w:div w:id="1105223076">
                          <w:marLeft w:val="0"/>
                          <w:marRight w:val="0"/>
                          <w:marTop w:val="0"/>
                          <w:marBottom w:val="0"/>
                          <w:divBdr>
                            <w:top w:val="none" w:sz="0" w:space="0" w:color="auto"/>
                            <w:left w:val="none" w:sz="0" w:space="0" w:color="auto"/>
                            <w:bottom w:val="none" w:sz="0" w:space="0" w:color="auto"/>
                            <w:right w:val="none" w:sz="0" w:space="0" w:color="auto"/>
                          </w:divBdr>
                          <w:divsChild>
                            <w:div w:id="1303535581">
                              <w:marLeft w:val="0"/>
                              <w:marRight w:val="0"/>
                              <w:marTop w:val="0"/>
                              <w:marBottom w:val="0"/>
                              <w:divBdr>
                                <w:top w:val="none" w:sz="0" w:space="0" w:color="auto"/>
                                <w:left w:val="none" w:sz="0" w:space="0" w:color="auto"/>
                                <w:bottom w:val="none" w:sz="0" w:space="0" w:color="auto"/>
                                <w:right w:val="none" w:sz="0" w:space="0" w:color="auto"/>
                              </w:divBdr>
                              <w:divsChild>
                                <w:div w:id="1652522432">
                                  <w:marLeft w:val="0"/>
                                  <w:marRight w:val="0"/>
                                  <w:marTop w:val="0"/>
                                  <w:marBottom w:val="0"/>
                                  <w:divBdr>
                                    <w:top w:val="none" w:sz="0" w:space="0" w:color="auto"/>
                                    <w:left w:val="none" w:sz="0" w:space="0" w:color="auto"/>
                                    <w:bottom w:val="none" w:sz="0" w:space="0" w:color="auto"/>
                                    <w:right w:val="none" w:sz="0" w:space="0" w:color="auto"/>
                                  </w:divBdr>
                                  <w:divsChild>
                                    <w:div w:id="212476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14447054">
      <w:bodyDiv w:val="1"/>
      <w:marLeft w:val="0"/>
      <w:marRight w:val="0"/>
      <w:marTop w:val="0"/>
      <w:marBottom w:val="0"/>
      <w:divBdr>
        <w:top w:val="none" w:sz="0" w:space="0" w:color="auto"/>
        <w:left w:val="none" w:sz="0" w:space="0" w:color="auto"/>
        <w:bottom w:val="none" w:sz="0" w:space="0" w:color="auto"/>
        <w:right w:val="none" w:sz="0" w:space="0" w:color="auto"/>
      </w:divBdr>
    </w:div>
    <w:div w:id="1816216528">
      <w:bodyDiv w:val="1"/>
      <w:marLeft w:val="0"/>
      <w:marRight w:val="0"/>
      <w:marTop w:val="0"/>
      <w:marBottom w:val="0"/>
      <w:divBdr>
        <w:top w:val="none" w:sz="0" w:space="0" w:color="auto"/>
        <w:left w:val="none" w:sz="0" w:space="0" w:color="auto"/>
        <w:bottom w:val="none" w:sz="0" w:space="0" w:color="auto"/>
        <w:right w:val="none" w:sz="0" w:space="0" w:color="auto"/>
      </w:divBdr>
      <w:divsChild>
        <w:div w:id="471094888">
          <w:marLeft w:val="0"/>
          <w:marRight w:val="0"/>
          <w:marTop w:val="0"/>
          <w:marBottom w:val="0"/>
          <w:divBdr>
            <w:top w:val="none" w:sz="0" w:space="0" w:color="auto"/>
            <w:left w:val="none" w:sz="0" w:space="0" w:color="auto"/>
            <w:bottom w:val="none" w:sz="0" w:space="0" w:color="auto"/>
            <w:right w:val="none" w:sz="0" w:space="0" w:color="auto"/>
          </w:divBdr>
          <w:divsChild>
            <w:div w:id="1638140676">
              <w:marLeft w:val="0"/>
              <w:marRight w:val="0"/>
              <w:marTop w:val="0"/>
              <w:marBottom w:val="0"/>
              <w:divBdr>
                <w:top w:val="none" w:sz="0" w:space="0" w:color="auto"/>
                <w:left w:val="none" w:sz="0" w:space="0" w:color="auto"/>
                <w:bottom w:val="none" w:sz="0" w:space="0" w:color="auto"/>
                <w:right w:val="none" w:sz="0" w:space="0" w:color="auto"/>
              </w:divBdr>
              <w:divsChild>
                <w:div w:id="67966636">
                  <w:marLeft w:val="0"/>
                  <w:marRight w:val="0"/>
                  <w:marTop w:val="0"/>
                  <w:marBottom w:val="0"/>
                  <w:divBdr>
                    <w:top w:val="none" w:sz="0" w:space="0" w:color="auto"/>
                    <w:left w:val="none" w:sz="0" w:space="0" w:color="auto"/>
                    <w:bottom w:val="none" w:sz="0" w:space="0" w:color="auto"/>
                    <w:right w:val="none" w:sz="0" w:space="0" w:color="auto"/>
                  </w:divBdr>
                  <w:divsChild>
                    <w:div w:id="909272712">
                      <w:marLeft w:val="0"/>
                      <w:marRight w:val="0"/>
                      <w:marTop w:val="0"/>
                      <w:marBottom w:val="0"/>
                      <w:divBdr>
                        <w:top w:val="none" w:sz="0" w:space="0" w:color="auto"/>
                        <w:left w:val="none" w:sz="0" w:space="0" w:color="auto"/>
                        <w:bottom w:val="none" w:sz="0" w:space="0" w:color="auto"/>
                        <w:right w:val="none" w:sz="0" w:space="0" w:color="auto"/>
                      </w:divBdr>
                      <w:divsChild>
                        <w:div w:id="245069926">
                          <w:marLeft w:val="0"/>
                          <w:marRight w:val="0"/>
                          <w:marTop w:val="0"/>
                          <w:marBottom w:val="0"/>
                          <w:divBdr>
                            <w:top w:val="none" w:sz="0" w:space="0" w:color="auto"/>
                            <w:left w:val="none" w:sz="0" w:space="0" w:color="auto"/>
                            <w:bottom w:val="none" w:sz="0" w:space="0" w:color="auto"/>
                            <w:right w:val="none" w:sz="0" w:space="0" w:color="auto"/>
                          </w:divBdr>
                          <w:divsChild>
                            <w:div w:id="612595771">
                              <w:marLeft w:val="0"/>
                              <w:marRight w:val="0"/>
                              <w:marTop w:val="0"/>
                              <w:marBottom w:val="0"/>
                              <w:divBdr>
                                <w:top w:val="none" w:sz="0" w:space="0" w:color="auto"/>
                                <w:left w:val="none" w:sz="0" w:space="0" w:color="auto"/>
                                <w:bottom w:val="none" w:sz="0" w:space="0" w:color="auto"/>
                                <w:right w:val="none" w:sz="0" w:space="0" w:color="auto"/>
                              </w:divBdr>
                              <w:divsChild>
                                <w:div w:id="433669409">
                                  <w:marLeft w:val="0"/>
                                  <w:marRight w:val="0"/>
                                  <w:marTop w:val="0"/>
                                  <w:marBottom w:val="0"/>
                                  <w:divBdr>
                                    <w:top w:val="none" w:sz="0" w:space="0" w:color="auto"/>
                                    <w:left w:val="none" w:sz="0" w:space="0" w:color="auto"/>
                                    <w:bottom w:val="none" w:sz="0" w:space="0" w:color="auto"/>
                                    <w:right w:val="none" w:sz="0" w:space="0" w:color="auto"/>
                                  </w:divBdr>
                                  <w:divsChild>
                                    <w:div w:id="31399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314962">
                          <w:marLeft w:val="0"/>
                          <w:marRight w:val="0"/>
                          <w:marTop w:val="0"/>
                          <w:marBottom w:val="0"/>
                          <w:divBdr>
                            <w:top w:val="none" w:sz="0" w:space="0" w:color="auto"/>
                            <w:left w:val="none" w:sz="0" w:space="0" w:color="auto"/>
                            <w:bottom w:val="none" w:sz="0" w:space="0" w:color="auto"/>
                            <w:right w:val="none" w:sz="0" w:space="0" w:color="auto"/>
                          </w:divBdr>
                          <w:divsChild>
                            <w:div w:id="967661785">
                              <w:marLeft w:val="0"/>
                              <w:marRight w:val="0"/>
                              <w:marTop w:val="0"/>
                              <w:marBottom w:val="0"/>
                              <w:divBdr>
                                <w:top w:val="none" w:sz="0" w:space="0" w:color="auto"/>
                                <w:left w:val="none" w:sz="0" w:space="0" w:color="auto"/>
                                <w:bottom w:val="none" w:sz="0" w:space="0" w:color="auto"/>
                                <w:right w:val="none" w:sz="0" w:space="0" w:color="auto"/>
                              </w:divBdr>
                              <w:divsChild>
                                <w:div w:id="2147355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4538091">
      <w:bodyDiv w:val="1"/>
      <w:marLeft w:val="0"/>
      <w:marRight w:val="0"/>
      <w:marTop w:val="0"/>
      <w:marBottom w:val="0"/>
      <w:divBdr>
        <w:top w:val="none" w:sz="0" w:space="0" w:color="auto"/>
        <w:left w:val="none" w:sz="0" w:space="0" w:color="auto"/>
        <w:bottom w:val="none" w:sz="0" w:space="0" w:color="auto"/>
        <w:right w:val="none" w:sz="0" w:space="0" w:color="auto"/>
      </w:divBdr>
      <w:divsChild>
        <w:div w:id="1877965302">
          <w:marLeft w:val="0"/>
          <w:marRight w:val="0"/>
          <w:marTop w:val="0"/>
          <w:marBottom w:val="0"/>
          <w:divBdr>
            <w:top w:val="none" w:sz="0" w:space="0" w:color="auto"/>
            <w:left w:val="none" w:sz="0" w:space="0" w:color="auto"/>
            <w:bottom w:val="none" w:sz="0" w:space="0" w:color="auto"/>
            <w:right w:val="none" w:sz="0" w:space="0" w:color="auto"/>
          </w:divBdr>
          <w:divsChild>
            <w:div w:id="465121930">
              <w:marLeft w:val="0"/>
              <w:marRight w:val="0"/>
              <w:marTop w:val="0"/>
              <w:marBottom w:val="0"/>
              <w:divBdr>
                <w:top w:val="none" w:sz="0" w:space="0" w:color="auto"/>
                <w:left w:val="none" w:sz="0" w:space="0" w:color="auto"/>
                <w:bottom w:val="none" w:sz="0" w:space="0" w:color="auto"/>
                <w:right w:val="none" w:sz="0" w:space="0" w:color="auto"/>
              </w:divBdr>
              <w:divsChild>
                <w:div w:id="1732730567">
                  <w:marLeft w:val="0"/>
                  <w:marRight w:val="0"/>
                  <w:marTop w:val="0"/>
                  <w:marBottom w:val="0"/>
                  <w:divBdr>
                    <w:top w:val="none" w:sz="0" w:space="0" w:color="auto"/>
                    <w:left w:val="none" w:sz="0" w:space="0" w:color="auto"/>
                    <w:bottom w:val="none" w:sz="0" w:space="0" w:color="auto"/>
                    <w:right w:val="none" w:sz="0" w:space="0" w:color="auto"/>
                  </w:divBdr>
                  <w:divsChild>
                    <w:div w:id="2046247590">
                      <w:marLeft w:val="0"/>
                      <w:marRight w:val="0"/>
                      <w:marTop w:val="0"/>
                      <w:marBottom w:val="0"/>
                      <w:divBdr>
                        <w:top w:val="none" w:sz="0" w:space="0" w:color="auto"/>
                        <w:left w:val="none" w:sz="0" w:space="0" w:color="auto"/>
                        <w:bottom w:val="none" w:sz="0" w:space="0" w:color="auto"/>
                        <w:right w:val="none" w:sz="0" w:space="0" w:color="auto"/>
                      </w:divBdr>
                      <w:divsChild>
                        <w:div w:id="480197863">
                          <w:marLeft w:val="0"/>
                          <w:marRight w:val="0"/>
                          <w:marTop w:val="0"/>
                          <w:marBottom w:val="0"/>
                          <w:divBdr>
                            <w:top w:val="none" w:sz="0" w:space="0" w:color="auto"/>
                            <w:left w:val="none" w:sz="0" w:space="0" w:color="auto"/>
                            <w:bottom w:val="none" w:sz="0" w:space="0" w:color="auto"/>
                            <w:right w:val="none" w:sz="0" w:space="0" w:color="auto"/>
                          </w:divBdr>
                          <w:divsChild>
                            <w:div w:id="548419211">
                              <w:marLeft w:val="0"/>
                              <w:marRight w:val="0"/>
                              <w:marTop w:val="0"/>
                              <w:marBottom w:val="0"/>
                              <w:divBdr>
                                <w:top w:val="none" w:sz="0" w:space="0" w:color="auto"/>
                                <w:left w:val="none" w:sz="0" w:space="0" w:color="auto"/>
                                <w:bottom w:val="none" w:sz="0" w:space="0" w:color="auto"/>
                                <w:right w:val="none" w:sz="0" w:space="0" w:color="auto"/>
                              </w:divBdr>
                              <w:divsChild>
                                <w:div w:id="1840193449">
                                  <w:marLeft w:val="0"/>
                                  <w:marRight w:val="0"/>
                                  <w:marTop w:val="0"/>
                                  <w:marBottom w:val="0"/>
                                  <w:divBdr>
                                    <w:top w:val="none" w:sz="0" w:space="0" w:color="auto"/>
                                    <w:left w:val="none" w:sz="0" w:space="0" w:color="auto"/>
                                    <w:bottom w:val="none" w:sz="0" w:space="0" w:color="auto"/>
                                    <w:right w:val="none" w:sz="0" w:space="0" w:color="auto"/>
                                  </w:divBdr>
                                  <w:divsChild>
                                    <w:div w:id="659894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8866852">
      <w:bodyDiv w:val="1"/>
      <w:marLeft w:val="0"/>
      <w:marRight w:val="0"/>
      <w:marTop w:val="0"/>
      <w:marBottom w:val="0"/>
      <w:divBdr>
        <w:top w:val="none" w:sz="0" w:space="0" w:color="auto"/>
        <w:left w:val="none" w:sz="0" w:space="0" w:color="auto"/>
        <w:bottom w:val="none" w:sz="0" w:space="0" w:color="auto"/>
        <w:right w:val="none" w:sz="0" w:space="0" w:color="auto"/>
      </w:divBdr>
    </w:div>
    <w:div w:id="1852140908">
      <w:bodyDiv w:val="1"/>
      <w:marLeft w:val="0"/>
      <w:marRight w:val="0"/>
      <w:marTop w:val="0"/>
      <w:marBottom w:val="0"/>
      <w:divBdr>
        <w:top w:val="none" w:sz="0" w:space="0" w:color="auto"/>
        <w:left w:val="none" w:sz="0" w:space="0" w:color="auto"/>
        <w:bottom w:val="none" w:sz="0" w:space="0" w:color="auto"/>
        <w:right w:val="none" w:sz="0" w:space="0" w:color="auto"/>
      </w:divBdr>
      <w:divsChild>
        <w:div w:id="335575840">
          <w:marLeft w:val="0"/>
          <w:marRight w:val="0"/>
          <w:marTop w:val="0"/>
          <w:marBottom w:val="0"/>
          <w:divBdr>
            <w:top w:val="none" w:sz="0" w:space="0" w:color="auto"/>
            <w:left w:val="none" w:sz="0" w:space="0" w:color="auto"/>
            <w:bottom w:val="none" w:sz="0" w:space="0" w:color="auto"/>
            <w:right w:val="none" w:sz="0" w:space="0" w:color="auto"/>
          </w:divBdr>
          <w:divsChild>
            <w:div w:id="1880849918">
              <w:marLeft w:val="0"/>
              <w:marRight w:val="0"/>
              <w:marTop w:val="0"/>
              <w:marBottom w:val="0"/>
              <w:divBdr>
                <w:top w:val="none" w:sz="0" w:space="0" w:color="auto"/>
                <w:left w:val="none" w:sz="0" w:space="0" w:color="auto"/>
                <w:bottom w:val="none" w:sz="0" w:space="0" w:color="auto"/>
                <w:right w:val="none" w:sz="0" w:space="0" w:color="auto"/>
              </w:divBdr>
            </w:div>
          </w:divsChild>
        </w:div>
        <w:div w:id="1247692618">
          <w:marLeft w:val="0"/>
          <w:marRight w:val="0"/>
          <w:marTop w:val="0"/>
          <w:marBottom w:val="0"/>
          <w:divBdr>
            <w:top w:val="none" w:sz="0" w:space="0" w:color="auto"/>
            <w:left w:val="none" w:sz="0" w:space="0" w:color="auto"/>
            <w:bottom w:val="none" w:sz="0" w:space="0" w:color="auto"/>
            <w:right w:val="none" w:sz="0" w:space="0" w:color="auto"/>
          </w:divBdr>
          <w:divsChild>
            <w:div w:id="1233585187">
              <w:marLeft w:val="0"/>
              <w:marRight w:val="0"/>
              <w:marTop w:val="0"/>
              <w:marBottom w:val="0"/>
              <w:divBdr>
                <w:top w:val="none" w:sz="0" w:space="0" w:color="auto"/>
                <w:left w:val="none" w:sz="0" w:space="0" w:color="auto"/>
                <w:bottom w:val="none" w:sz="0" w:space="0" w:color="auto"/>
                <w:right w:val="none" w:sz="0" w:space="0" w:color="auto"/>
              </w:divBdr>
            </w:div>
          </w:divsChild>
        </w:div>
        <w:div w:id="1681614965">
          <w:marLeft w:val="0"/>
          <w:marRight w:val="0"/>
          <w:marTop w:val="0"/>
          <w:marBottom w:val="0"/>
          <w:divBdr>
            <w:top w:val="none" w:sz="0" w:space="0" w:color="auto"/>
            <w:left w:val="none" w:sz="0" w:space="0" w:color="auto"/>
            <w:bottom w:val="none" w:sz="0" w:space="0" w:color="auto"/>
            <w:right w:val="none" w:sz="0" w:space="0" w:color="auto"/>
          </w:divBdr>
          <w:divsChild>
            <w:div w:id="1573079381">
              <w:marLeft w:val="0"/>
              <w:marRight w:val="0"/>
              <w:marTop w:val="0"/>
              <w:marBottom w:val="0"/>
              <w:divBdr>
                <w:top w:val="none" w:sz="0" w:space="0" w:color="auto"/>
                <w:left w:val="none" w:sz="0" w:space="0" w:color="auto"/>
                <w:bottom w:val="none" w:sz="0" w:space="0" w:color="auto"/>
                <w:right w:val="none" w:sz="0" w:space="0" w:color="auto"/>
              </w:divBdr>
            </w:div>
          </w:divsChild>
        </w:div>
        <w:div w:id="2056998811">
          <w:marLeft w:val="0"/>
          <w:marRight w:val="0"/>
          <w:marTop w:val="0"/>
          <w:marBottom w:val="0"/>
          <w:divBdr>
            <w:top w:val="none" w:sz="0" w:space="0" w:color="auto"/>
            <w:left w:val="none" w:sz="0" w:space="0" w:color="auto"/>
            <w:bottom w:val="none" w:sz="0" w:space="0" w:color="auto"/>
            <w:right w:val="none" w:sz="0" w:space="0" w:color="auto"/>
          </w:divBdr>
          <w:divsChild>
            <w:div w:id="36379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8301433">
      <w:bodyDiv w:val="1"/>
      <w:marLeft w:val="0"/>
      <w:marRight w:val="0"/>
      <w:marTop w:val="0"/>
      <w:marBottom w:val="0"/>
      <w:divBdr>
        <w:top w:val="none" w:sz="0" w:space="0" w:color="auto"/>
        <w:left w:val="none" w:sz="0" w:space="0" w:color="auto"/>
        <w:bottom w:val="none" w:sz="0" w:space="0" w:color="auto"/>
        <w:right w:val="none" w:sz="0" w:space="0" w:color="auto"/>
      </w:divBdr>
    </w:div>
    <w:div w:id="1944651768">
      <w:bodyDiv w:val="1"/>
      <w:marLeft w:val="0"/>
      <w:marRight w:val="0"/>
      <w:marTop w:val="0"/>
      <w:marBottom w:val="0"/>
      <w:divBdr>
        <w:top w:val="none" w:sz="0" w:space="0" w:color="auto"/>
        <w:left w:val="none" w:sz="0" w:space="0" w:color="auto"/>
        <w:bottom w:val="none" w:sz="0" w:space="0" w:color="auto"/>
        <w:right w:val="none" w:sz="0" w:space="0" w:color="auto"/>
      </w:divBdr>
      <w:divsChild>
        <w:div w:id="338236904">
          <w:marLeft w:val="0"/>
          <w:marRight w:val="0"/>
          <w:marTop w:val="0"/>
          <w:marBottom w:val="0"/>
          <w:divBdr>
            <w:top w:val="none" w:sz="0" w:space="0" w:color="auto"/>
            <w:left w:val="none" w:sz="0" w:space="0" w:color="auto"/>
            <w:bottom w:val="none" w:sz="0" w:space="0" w:color="auto"/>
            <w:right w:val="none" w:sz="0" w:space="0" w:color="auto"/>
          </w:divBdr>
          <w:divsChild>
            <w:div w:id="879514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919837">
      <w:bodyDiv w:val="1"/>
      <w:marLeft w:val="0"/>
      <w:marRight w:val="0"/>
      <w:marTop w:val="0"/>
      <w:marBottom w:val="0"/>
      <w:divBdr>
        <w:top w:val="none" w:sz="0" w:space="0" w:color="auto"/>
        <w:left w:val="none" w:sz="0" w:space="0" w:color="auto"/>
        <w:bottom w:val="none" w:sz="0" w:space="0" w:color="auto"/>
        <w:right w:val="none" w:sz="0" w:space="0" w:color="auto"/>
      </w:divBdr>
    </w:div>
    <w:div w:id="1965498375">
      <w:bodyDiv w:val="1"/>
      <w:marLeft w:val="0"/>
      <w:marRight w:val="0"/>
      <w:marTop w:val="0"/>
      <w:marBottom w:val="0"/>
      <w:divBdr>
        <w:top w:val="none" w:sz="0" w:space="0" w:color="auto"/>
        <w:left w:val="none" w:sz="0" w:space="0" w:color="auto"/>
        <w:bottom w:val="none" w:sz="0" w:space="0" w:color="auto"/>
        <w:right w:val="none" w:sz="0" w:space="0" w:color="auto"/>
      </w:divBdr>
    </w:div>
    <w:div w:id="2001616150">
      <w:bodyDiv w:val="1"/>
      <w:marLeft w:val="0"/>
      <w:marRight w:val="0"/>
      <w:marTop w:val="0"/>
      <w:marBottom w:val="0"/>
      <w:divBdr>
        <w:top w:val="none" w:sz="0" w:space="0" w:color="auto"/>
        <w:left w:val="none" w:sz="0" w:space="0" w:color="auto"/>
        <w:bottom w:val="none" w:sz="0" w:space="0" w:color="auto"/>
        <w:right w:val="none" w:sz="0" w:space="0" w:color="auto"/>
      </w:divBdr>
      <w:divsChild>
        <w:div w:id="267853959">
          <w:marLeft w:val="0"/>
          <w:marRight w:val="0"/>
          <w:marTop w:val="0"/>
          <w:marBottom w:val="0"/>
          <w:divBdr>
            <w:top w:val="none" w:sz="0" w:space="0" w:color="auto"/>
            <w:left w:val="none" w:sz="0" w:space="0" w:color="auto"/>
            <w:bottom w:val="none" w:sz="0" w:space="0" w:color="auto"/>
            <w:right w:val="none" w:sz="0" w:space="0" w:color="auto"/>
          </w:divBdr>
          <w:divsChild>
            <w:div w:id="2095545653">
              <w:marLeft w:val="0"/>
              <w:marRight w:val="0"/>
              <w:marTop w:val="0"/>
              <w:marBottom w:val="0"/>
              <w:divBdr>
                <w:top w:val="none" w:sz="0" w:space="0" w:color="auto"/>
                <w:left w:val="none" w:sz="0" w:space="0" w:color="auto"/>
                <w:bottom w:val="none" w:sz="0" w:space="0" w:color="auto"/>
                <w:right w:val="none" w:sz="0" w:space="0" w:color="auto"/>
              </w:divBdr>
              <w:divsChild>
                <w:div w:id="1845978229">
                  <w:marLeft w:val="0"/>
                  <w:marRight w:val="0"/>
                  <w:marTop w:val="0"/>
                  <w:marBottom w:val="0"/>
                  <w:divBdr>
                    <w:top w:val="none" w:sz="0" w:space="0" w:color="auto"/>
                    <w:left w:val="none" w:sz="0" w:space="0" w:color="auto"/>
                    <w:bottom w:val="none" w:sz="0" w:space="0" w:color="auto"/>
                    <w:right w:val="none" w:sz="0" w:space="0" w:color="auto"/>
                  </w:divBdr>
                  <w:divsChild>
                    <w:div w:id="702629162">
                      <w:marLeft w:val="0"/>
                      <w:marRight w:val="0"/>
                      <w:marTop w:val="0"/>
                      <w:marBottom w:val="0"/>
                      <w:divBdr>
                        <w:top w:val="none" w:sz="0" w:space="0" w:color="auto"/>
                        <w:left w:val="none" w:sz="0" w:space="0" w:color="auto"/>
                        <w:bottom w:val="none" w:sz="0" w:space="0" w:color="auto"/>
                        <w:right w:val="none" w:sz="0" w:space="0" w:color="auto"/>
                      </w:divBdr>
                      <w:divsChild>
                        <w:div w:id="865219516">
                          <w:marLeft w:val="0"/>
                          <w:marRight w:val="0"/>
                          <w:marTop w:val="0"/>
                          <w:marBottom w:val="0"/>
                          <w:divBdr>
                            <w:top w:val="none" w:sz="0" w:space="0" w:color="auto"/>
                            <w:left w:val="none" w:sz="0" w:space="0" w:color="auto"/>
                            <w:bottom w:val="none" w:sz="0" w:space="0" w:color="auto"/>
                            <w:right w:val="none" w:sz="0" w:space="0" w:color="auto"/>
                          </w:divBdr>
                          <w:divsChild>
                            <w:div w:id="2099208427">
                              <w:marLeft w:val="0"/>
                              <w:marRight w:val="0"/>
                              <w:marTop w:val="0"/>
                              <w:marBottom w:val="0"/>
                              <w:divBdr>
                                <w:top w:val="none" w:sz="0" w:space="0" w:color="auto"/>
                                <w:left w:val="none" w:sz="0" w:space="0" w:color="auto"/>
                                <w:bottom w:val="none" w:sz="0" w:space="0" w:color="auto"/>
                                <w:right w:val="none" w:sz="0" w:space="0" w:color="auto"/>
                              </w:divBdr>
                              <w:divsChild>
                                <w:div w:id="1437291335">
                                  <w:marLeft w:val="0"/>
                                  <w:marRight w:val="0"/>
                                  <w:marTop w:val="0"/>
                                  <w:marBottom w:val="0"/>
                                  <w:divBdr>
                                    <w:top w:val="none" w:sz="0" w:space="0" w:color="auto"/>
                                    <w:left w:val="none" w:sz="0" w:space="0" w:color="auto"/>
                                    <w:bottom w:val="none" w:sz="0" w:space="0" w:color="auto"/>
                                    <w:right w:val="none" w:sz="0" w:space="0" w:color="auto"/>
                                  </w:divBdr>
                                  <w:divsChild>
                                    <w:div w:id="1271430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194513">
                          <w:marLeft w:val="0"/>
                          <w:marRight w:val="0"/>
                          <w:marTop w:val="0"/>
                          <w:marBottom w:val="0"/>
                          <w:divBdr>
                            <w:top w:val="none" w:sz="0" w:space="0" w:color="auto"/>
                            <w:left w:val="none" w:sz="0" w:space="0" w:color="auto"/>
                            <w:bottom w:val="none" w:sz="0" w:space="0" w:color="auto"/>
                            <w:right w:val="none" w:sz="0" w:space="0" w:color="auto"/>
                          </w:divBdr>
                          <w:divsChild>
                            <w:div w:id="411968634">
                              <w:marLeft w:val="0"/>
                              <w:marRight w:val="0"/>
                              <w:marTop w:val="0"/>
                              <w:marBottom w:val="0"/>
                              <w:divBdr>
                                <w:top w:val="none" w:sz="0" w:space="0" w:color="auto"/>
                                <w:left w:val="none" w:sz="0" w:space="0" w:color="auto"/>
                                <w:bottom w:val="none" w:sz="0" w:space="0" w:color="auto"/>
                                <w:right w:val="none" w:sz="0" w:space="0" w:color="auto"/>
                              </w:divBdr>
                              <w:divsChild>
                                <w:div w:id="114176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07974429">
      <w:bodyDiv w:val="1"/>
      <w:marLeft w:val="0"/>
      <w:marRight w:val="0"/>
      <w:marTop w:val="0"/>
      <w:marBottom w:val="0"/>
      <w:divBdr>
        <w:top w:val="none" w:sz="0" w:space="0" w:color="auto"/>
        <w:left w:val="none" w:sz="0" w:space="0" w:color="auto"/>
        <w:bottom w:val="none" w:sz="0" w:space="0" w:color="auto"/>
        <w:right w:val="none" w:sz="0" w:space="0" w:color="auto"/>
      </w:divBdr>
    </w:div>
    <w:div w:id="2019849137">
      <w:bodyDiv w:val="1"/>
      <w:marLeft w:val="0"/>
      <w:marRight w:val="0"/>
      <w:marTop w:val="0"/>
      <w:marBottom w:val="0"/>
      <w:divBdr>
        <w:top w:val="none" w:sz="0" w:space="0" w:color="auto"/>
        <w:left w:val="none" w:sz="0" w:space="0" w:color="auto"/>
        <w:bottom w:val="none" w:sz="0" w:space="0" w:color="auto"/>
        <w:right w:val="none" w:sz="0" w:space="0" w:color="auto"/>
      </w:divBdr>
      <w:divsChild>
        <w:div w:id="459997471">
          <w:marLeft w:val="0"/>
          <w:marRight w:val="0"/>
          <w:marTop w:val="0"/>
          <w:marBottom w:val="0"/>
          <w:divBdr>
            <w:top w:val="none" w:sz="0" w:space="0" w:color="auto"/>
            <w:left w:val="none" w:sz="0" w:space="0" w:color="auto"/>
            <w:bottom w:val="none" w:sz="0" w:space="0" w:color="auto"/>
            <w:right w:val="none" w:sz="0" w:space="0" w:color="auto"/>
          </w:divBdr>
          <w:divsChild>
            <w:div w:id="863783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40396">
      <w:bodyDiv w:val="1"/>
      <w:marLeft w:val="0"/>
      <w:marRight w:val="0"/>
      <w:marTop w:val="0"/>
      <w:marBottom w:val="0"/>
      <w:divBdr>
        <w:top w:val="none" w:sz="0" w:space="0" w:color="auto"/>
        <w:left w:val="none" w:sz="0" w:space="0" w:color="auto"/>
        <w:bottom w:val="none" w:sz="0" w:space="0" w:color="auto"/>
        <w:right w:val="none" w:sz="0" w:space="0" w:color="auto"/>
      </w:divBdr>
      <w:divsChild>
        <w:div w:id="641471532">
          <w:marLeft w:val="0"/>
          <w:marRight w:val="0"/>
          <w:marTop w:val="0"/>
          <w:marBottom w:val="0"/>
          <w:divBdr>
            <w:top w:val="none" w:sz="0" w:space="0" w:color="auto"/>
            <w:left w:val="none" w:sz="0" w:space="0" w:color="auto"/>
            <w:bottom w:val="none" w:sz="0" w:space="0" w:color="auto"/>
            <w:right w:val="none" w:sz="0" w:space="0" w:color="auto"/>
          </w:divBdr>
          <w:divsChild>
            <w:div w:id="134029805">
              <w:marLeft w:val="0"/>
              <w:marRight w:val="0"/>
              <w:marTop w:val="0"/>
              <w:marBottom w:val="0"/>
              <w:divBdr>
                <w:top w:val="none" w:sz="0" w:space="0" w:color="auto"/>
                <w:left w:val="none" w:sz="0" w:space="0" w:color="auto"/>
                <w:bottom w:val="none" w:sz="0" w:space="0" w:color="auto"/>
                <w:right w:val="none" w:sz="0" w:space="0" w:color="auto"/>
              </w:divBdr>
              <w:divsChild>
                <w:div w:id="1471827720">
                  <w:marLeft w:val="0"/>
                  <w:marRight w:val="0"/>
                  <w:marTop w:val="0"/>
                  <w:marBottom w:val="0"/>
                  <w:divBdr>
                    <w:top w:val="none" w:sz="0" w:space="0" w:color="auto"/>
                    <w:left w:val="none" w:sz="0" w:space="0" w:color="auto"/>
                    <w:bottom w:val="none" w:sz="0" w:space="0" w:color="auto"/>
                    <w:right w:val="none" w:sz="0" w:space="0" w:color="auto"/>
                  </w:divBdr>
                  <w:divsChild>
                    <w:div w:id="524246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8207866">
      <w:bodyDiv w:val="1"/>
      <w:marLeft w:val="0"/>
      <w:marRight w:val="0"/>
      <w:marTop w:val="0"/>
      <w:marBottom w:val="0"/>
      <w:divBdr>
        <w:top w:val="none" w:sz="0" w:space="0" w:color="auto"/>
        <w:left w:val="none" w:sz="0" w:space="0" w:color="auto"/>
        <w:bottom w:val="none" w:sz="0" w:space="0" w:color="auto"/>
        <w:right w:val="none" w:sz="0" w:space="0" w:color="auto"/>
      </w:divBdr>
      <w:divsChild>
        <w:div w:id="1524057734">
          <w:marLeft w:val="0"/>
          <w:marRight w:val="0"/>
          <w:marTop w:val="0"/>
          <w:marBottom w:val="0"/>
          <w:divBdr>
            <w:top w:val="none" w:sz="0" w:space="0" w:color="auto"/>
            <w:left w:val="none" w:sz="0" w:space="0" w:color="auto"/>
            <w:bottom w:val="none" w:sz="0" w:space="0" w:color="auto"/>
            <w:right w:val="none" w:sz="0" w:space="0" w:color="auto"/>
          </w:divBdr>
          <w:divsChild>
            <w:div w:id="14403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277137">
      <w:bodyDiv w:val="1"/>
      <w:marLeft w:val="0"/>
      <w:marRight w:val="0"/>
      <w:marTop w:val="0"/>
      <w:marBottom w:val="0"/>
      <w:divBdr>
        <w:top w:val="none" w:sz="0" w:space="0" w:color="auto"/>
        <w:left w:val="none" w:sz="0" w:space="0" w:color="auto"/>
        <w:bottom w:val="none" w:sz="0" w:space="0" w:color="auto"/>
        <w:right w:val="none" w:sz="0" w:space="0" w:color="auto"/>
      </w:divBdr>
      <w:divsChild>
        <w:div w:id="999117283">
          <w:marLeft w:val="0"/>
          <w:marRight w:val="0"/>
          <w:marTop w:val="0"/>
          <w:marBottom w:val="0"/>
          <w:divBdr>
            <w:top w:val="none" w:sz="0" w:space="0" w:color="auto"/>
            <w:left w:val="none" w:sz="0" w:space="0" w:color="auto"/>
            <w:bottom w:val="none" w:sz="0" w:space="0" w:color="auto"/>
            <w:right w:val="none" w:sz="0" w:space="0" w:color="auto"/>
          </w:divBdr>
          <w:divsChild>
            <w:div w:id="1348747150">
              <w:marLeft w:val="0"/>
              <w:marRight w:val="0"/>
              <w:marTop w:val="0"/>
              <w:marBottom w:val="0"/>
              <w:divBdr>
                <w:top w:val="none" w:sz="0" w:space="0" w:color="auto"/>
                <w:left w:val="none" w:sz="0" w:space="0" w:color="auto"/>
                <w:bottom w:val="none" w:sz="0" w:space="0" w:color="auto"/>
                <w:right w:val="none" w:sz="0" w:space="0" w:color="auto"/>
              </w:divBdr>
              <w:divsChild>
                <w:div w:id="1889534878">
                  <w:marLeft w:val="0"/>
                  <w:marRight w:val="0"/>
                  <w:marTop w:val="0"/>
                  <w:marBottom w:val="0"/>
                  <w:divBdr>
                    <w:top w:val="none" w:sz="0" w:space="0" w:color="auto"/>
                    <w:left w:val="none" w:sz="0" w:space="0" w:color="auto"/>
                    <w:bottom w:val="none" w:sz="0" w:space="0" w:color="auto"/>
                    <w:right w:val="none" w:sz="0" w:space="0" w:color="auto"/>
                  </w:divBdr>
                  <w:divsChild>
                    <w:div w:id="1295789736">
                      <w:marLeft w:val="0"/>
                      <w:marRight w:val="0"/>
                      <w:marTop w:val="0"/>
                      <w:marBottom w:val="0"/>
                      <w:divBdr>
                        <w:top w:val="none" w:sz="0" w:space="0" w:color="auto"/>
                        <w:left w:val="none" w:sz="0" w:space="0" w:color="auto"/>
                        <w:bottom w:val="none" w:sz="0" w:space="0" w:color="auto"/>
                        <w:right w:val="none" w:sz="0" w:space="0" w:color="auto"/>
                      </w:divBdr>
                      <w:divsChild>
                        <w:div w:id="319578448">
                          <w:marLeft w:val="0"/>
                          <w:marRight w:val="0"/>
                          <w:marTop w:val="0"/>
                          <w:marBottom w:val="0"/>
                          <w:divBdr>
                            <w:top w:val="none" w:sz="0" w:space="0" w:color="auto"/>
                            <w:left w:val="none" w:sz="0" w:space="0" w:color="auto"/>
                            <w:bottom w:val="none" w:sz="0" w:space="0" w:color="auto"/>
                            <w:right w:val="none" w:sz="0" w:space="0" w:color="auto"/>
                          </w:divBdr>
                          <w:divsChild>
                            <w:div w:id="281347423">
                              <w:marLeft w:val="0"/>
                              <w:marRight w:val="0"/>
                              <w:marTop w:val="0"/>
                              <w:marBottom w:val="0"/>
                              <w:divBdr>
                                <w:top w:val="none" w:sz="0" w:space="0" w:color="auto"/>
                                <w:left w:val="none" w:sz="0" w:space="0" w:color="auto"/>
                                <w:bottom w:val="none" w:sz="0" w:space="0" w:color="auto"/>
                                <w:right w:val="none" w:sz="0" w:space="0" w:color="auto"/>
                              </w:divBdr>
                              <w:divsChild>
                                <w:div w:id="1816484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582901">
                          <w:marLeft w:val="0"/>
                          <w:marRight w:val="0"/>
                          <w:marTop w:val="0"/>
                          <w:marBottom w:val="0"/>
                          <w:divBdr>
                            <w:top w:val="none" w:sz="0" w:space="0" w:color="auto"/>
                            <w:left w:val="none" w:sz="0" w:space="0" w:color="auto"/>
                            <w:bottom w:val="none" w:sz="0" w:space="0" w:color="auto"/>
                            <w:right w:val="none" w:sz="0" w:space="0" w:color="auto"/>
                          </w:divBdr>
                          <w:divsChild>
                            <w:div w:id="1466387036">
                              <w:marLeft w:val="0"/>
                              <w:marRight w:val="0"/>
                              <w:marTop w:val="0"/>
                              <w:marBottom w:val="0"/>
                              <w:divBdr>
                                <w:top w:val="none" w:sz="0" w:space="0" w:color="auto"/>
                                <w:left w:val="none" w:sz="0" w:space="0" w:color="auto"/>
                                <w:bottom w:val="none" w:sz="0" w:space="0" w:color="auto"/>
                                <w:right w:val="none" w:sz="0" w:space="0" w:color="auto"/>
                              </w:divBdr>
                              <w:divsChild>
                                <w:div w:id="1541044351">
                                  <w:marLeft w:val="0"/>
                                  <w:marRight w:val="0"/>
                                  <w:marTop w:val="0"/>
                                  <w:marBottom w:val="0"/>
                                  <w:divBdr>
                                    <w:top w:val="none" w:sz="0" w:space="0" w:color="auto"/>
                                    <w:left w:val="none" w:sz="0" w:space="0" w:color="auto"/>
                                    <w:bottom w:val="none" w:sz="0" w:space="0" w:color="auto"/>
                                    <w:right w:val="none" w:sz="0" w:space="0" w:color="auto"/>
                                  </w:divBdr>
                                  <w:divsChild>
                                    <w:div w:id="190806050">
                                      <w:marLeft w:val="0"/>
                                      <w:marRight w:val="0"/>
                                      <w:marTop w:val="0"/>
                                      <w:marBottom w:val="0"/>
                                      <w:divBdr>
                                        <w:top w:val="none" w:sz="0" w:space="0" w:color="auto"/>
                                        <w:left w:val="none" w:sz="0" w:space="0" w:color="auto"/>
                                        <w:bottom w:val="none" w:sz="0" w:space="0" w:color="auto"/>
                                        <w:right w:val="none" w:sz="0" w:space="0" w:color="auto"/>
                                      </w:divBdr>
                                      <w:divsChild>
                                        <w:div w:id="358167931">
                                          <w:marLeft w:val="0"/>
                                          <w:marRight w:val="0"/>
                                          <w:marTop w:val="0"/>
                                          <w:marBottom w:val="0"/>
                                          <w:divBdr>
                                            <w:top w:val="none" w:sz="0" w:space="0" w:color="auto"/>
                                            <w:left w:val="none" w:sz="0" w:space="0" w:color="auto"/>
                                            <w:bottom w:val="none" w:sz="0" w:space="0" w:color="auto"/>
                                            <w:right w:val="none" w:sz="0" w:space="0" w:color="auto"/>
                                          </w:divBdr>
                                        </w:div>
                                        <w:div w:id="1096704985">
                                          <w:marLeft w:val="0"/>
                                          <w:marRight w:val="0"/>
                                          <w:marTop w:val="0"/>
                                          <w:marBottom w:val="0"/>
                                          <w:divBdr>
                                            <w:top w:val="none" w:sz="0" w:space="0" w:color="auto"/>
                                            <w:left w:val="none" w:sz="0" w:space="0" w:color="auto"/>
                                            <w:bottom w:val="none" w:sz="0" w:space="0" w:color="auto"/>
                                            <w:right w:val="none" w:sz="0" w:space="0" w:color="auto"/>
                                          </w:divBdr>
                                        </w:div>
                                        <w:div w:id="1108499844">
                                          <w:marLeft w:val="0"/>
                                          <w:marRight w:val="0"/>
                                          <w:marTop w:val="0"/>
                                          <w:marBottom w:val="0"/>
                                          <w:divBdr>
                                            <w:top w:val="none" w:sz="0" w:space="0" w:color="auto"/>
                                            <w:left w:val="none" w:sz="0" w:space="0" w:color="auto"/>
                                            <w:bottom w:val="none" w:sz="0" w:space="0" w:color="auto"/>
                                            <w:right w:val="none" w:sz="0" w:space="0" w:color="auto"/>
                                          </w:divBdr>
                                        </w:div>
                                        <w:div w:id="1493058459">
                                          <w:marLeft w:val="0"/>
                                          <w:marRight w:val="0"/>
                                          <w:marTop w:val="0"/>
                                          <w:marBottom w:val="0"/>
                                          <w:divBdr>
                                            <w:top w:val="none" w:sz="0" w:space="0" w:color="auto"/>
                                            <w:left w:val="none" w:sz="0" w:space="0" w:color="auto"/>
                                            <w:bottom w:val="none" w:sz="0" w:space="0" w:color="auto"/>
                                            <w:right w:val="none" w:sz="0" w:space="0" w:color="auto"/>
                                          </w:divBdr>
                                        </w:div>
                                        <w:div w:id="1665819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39906269">
      <w:bodyDiv w:val="1"/>
      <w:marLeft w:val="0"/>
      <w:marRight w:val="0"/>
      <w:marTop w:val="0"/>
      <w:marBottom w:val="0"/>
      <w:divBdr>
        <w:top w:val="none" w:sz="0" w:space="0" w:color="auto"/>
        <w:left w:val="none" w:sz="0" w:space="0" w:color="auto"/>
        <w:bottom w:val="none" w:sz="0" w:space="0" w:color="auto"/>
        <w:right w:val="none" w:sz="0" w:space="0" w:color="auto"/>
      </w:divBdr>
      <w:divsChild>
        <w:div w:id="954673889">
          <w:marLeft w:val="0"/>
          <w:marRight w:val="0"/>
          <w:marTop w:val="0"/>
          <w:marBottom w:val="0"/>
          <w:divBdr>
            <w:top w:val="none" w:sz="0" w:space="0" w:color="auto"/>
            <w:left w:val="none" w:sz="0" w:space="0" w:color="auto"/>
            <w:bottom w:val="none" w:sz="0" w:space="0" w:color="auto"/>
            <w:right w:val="none" w:sz="0" w:space="0" w:color="auto"/>
          </w:divBdr>
          <w:divsChild>
            <w:div w:id="1267812722">
              <w:marLeft w:val="0"/>
              <w:marRight w:val="0"/>
              <w:marTop w:val="0"/>
              <w:marBottom w:val="0"/>
              <w:divBdr>
                <w:top w:val="none" w:sz="0" w:space="0" w:color="auto"/>
                <w:left w:val="none" w:sz="0" w:space="0" w:color="auto"/>
                <w:bottom w:val="none" w:sz="0" w:space="0" w:color="auto"/>
                <w:right w:val="none" w:sz="0" w:space="0" w:color="auto"/>
              </w:divBdr>
              <w:divsChild>
                <w:div w:id="688992795">
                  <w:marLeft w:val="0"/>
                  <w:marRight w:val="0"/>
                  <w:marTop w:val="0"/>
                  <w:marBottom w:val="0"/>
                  <w:divBdr>
                    <w:top w:val="none" w:sz="0" w:space="0" w:color="auto"/>
                    <w:left w:val="none" w:sz="0" w:space="0" w:color="auto"/>
                    <w:bottom w:val="none" w:sz="0" w:space="0" w:color="auto"/>
                    <w:right w:val="none" w:sz="0" w:space="0" w:color="auto"/>
                  </w:divBdr>
                  <w:divsChild>
                    <w:div w:id="1119452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hrlmc.com/index.php/home/article/view/1997"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lmi.education/"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hyperlink" Target="https://jhrlmc.com/index.php/hom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bilu%20prorect\1984%20JHR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929648-9DE6-45D5-9845-1AB8A81DD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1984 JHRR.dotx</Template>
  <TotalTime>1195</TotalTime>
  <Pages>9</Pages>
  <Words>5651</Words>
  <Characters>32217</Characters>
  <Application>Microsoft Office Word</Application>
  <DocSecurity>0</DocSecurity>
  <Lines>268</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dc:creator>
  <cp:keywords/>
  <dc:description/>
  <cp:lastModifiedBy>GEO</cp:lastModifiedBy>
  <cp:revision>1</cp:revision>
  <cp:lastPrinted>2026-04-24T11:38:00Z</cp:lastPrinted>
  <dcterms:created xsi:type="dcterms:W3CDTF">2026-06-03T09:38:00Z</dcterms:created>
  <dcterms:modified xsi:type="dcterms:W3CDTF">2026-06-04T05:34:00Z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2024-08-13T11:48:01Z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cb9aac97-6d8f-4bc6-b373-c4378de845e2</vt:lpwstr>
  </property>
  <property fmtid="{D5CDD505-2E9C-101B-9397-08002B2CF9AE}" pid="7" name="MSIP_Label_defa4170-0d19-0005-0004-bc88714345d2_ActionId">
    <vt:lpwstr>6069603d-73ad-4d41-82fd-56544ed2e7ce</vt:lpwstr>
  </property>
  <property fmtid="{D5CDD505-2E9C-101B-9397-08002B2CF9AE}" pid="8" name="MSIP_Label_defa4170-0d19-0005-0004-bc88714345d2_ContentBits">
    <vt:lpwstr>0</vt:lpwstr>
  </property>
</Properties>
</file>