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5C4F64" w:rsidRPr="00BB7230" w:rsidRDefault="004E1DAE" w:rsidP="00335DDB">
      <w:pPr>
        <w:pStyle w:val="Body"/>
        <w:tabs>
          <w:tab w:val="left" w:pos="3888"/>
        </w:tabs>
        <w:spacing w:line="240" w:lineRule="auto"/>
        <w:rPr>
          <w:rFonts w:cstheme="majorBidi"/>
          <w:b/>
          <w:bCs/>
          <w:color w:val="000000" w:themeColor="text1"/>
          <w:sz w:val="36"/>
          <w:szCs w:val="36"/>
        </w:rPr>
      </w:pPr>
      <w:r w:rsidRPr="004E1DAE">
        <w:rPr>
          <w:rFonts w:cstheme="majorBidi"/>
          <w:b/>
          <w:bCs/>
          <w:color w:val="000000" w:themeColor="text1"/>
          <w:sz w:val="36"/>
          <w:szCs w:val="36"/>
        </w:rPr>
        <w:t xml:space="preserve">Association </w:t>
      </w:r>
      <w:proofErr w:type="gramStart"/>
      <w:r w:rsidRPr="004E1DAE">
        <w:rPr>
          <w:rFonts w:cstheme="majorBidi"/>
          <w:b/>
          <w:bCs/>
          <w:color w:val="000000" w:themeColor="text1"/>
          <w:sz w:val="36"/>
          <w:szCs w:val="36"/>
        </w:rPr>
        <w:t>Between</w:t>
      </w:r>
      <w:proofErr w:type="gramEnd"/>
      <w:r w:rsidRPr="004E1DAE">
        <w:rPr>
          <w:rFonts w:cstheme="majorBidi"/>
          <w:b/>
          <w:bCs/>
          <w:color w:val="000000" w:themeColor="text1"/>
          <w:sz w:val="36"/>
          <w:szCs w:val="36"/>
        </w:rPr>
        <w:t xml:space="preserve"> Metabolic Syndrome and Clinical Severity of Knee Osteoarthritis: A Cross-Sectional Study at The University of Lahore Teaching Hospital, Lahore</w:t>
      </w:r>
    </w:p>
    <w:p w:rsidR="00E202E9" w:rsidRPr="00BB7230" w:rsidRDefault="007C1877" w:rsidP="007C1877">
      <w:pPr>
        <w:pStyle w:val="Body"/>
        <w:spacing w:before="75" w:after="100"/>
        <w:rPr>
          <w:rFonts w:cstheme="majorBidi"/>
          <w:b/>
          <w:bCs/>
          <w:color w:val="074F6A" w:themeColor="accent4" w:themeShade="80"/>
          <w:sz w:val="24"/>
          <w:szCs w:val="24"/>
        </w:rPr>
      </w:pPr>
      <w:r w:rsidRPr="007C1877">
        <w:rPr>
          <w:rFonts w:cstheme="majorBidi"/>
          <w:b/>
          <w:bCs/>
          <w:color w:val="074F6A" w:themeColor="accent4" w:themeShade="80"/>
          <w:sz w:val="24"/>
          <w:szCs w:val="24"/>
        </w:rPr>
        <w:t xml:space="preserve">Dr. </w:t>
      </w:r>
      <w:proofErr w:type="spellStart"/>
      <w:r w:rsidR="008B5956">
        <w:rPr>
          <w:rFonts w:cstheme="majorBidi"/>
          <w:b/>
          <w:bCs/>
          <w:color w:val="074F6A" w:themeColor="accent4" w:themeShade="80"/>
          <w:sz w:val="24"/>
          <w:szCs w:val="24"/>
        </w:rPr>
        <w:t>Sameera</w:t>
      </w:r>
      <w:proofErr w:type="spellEnd"/>
      <w:r w:rsidR="008B5956">
        <w:rPr>
          <w:rFonts w:cstheme="majorBidi"/>
          <w:b/>
          <w:bCs/>
          <w:color w:val="074F6A" w:themeColor="accent4" w:themeShade="80"/>
          <w:sz w:val="24"/>
          <w:szCs w:val="24"/>
        </w:rPr>
        <w:t xml:space="preserve"> Butt</w:t>
      </w:r>
      <w:r w:rsidRPr="007C1877">
        <w:rPr>
          <w:rFonts w:cstheme="majorBidi"/>
          <w:b/>
          <w:bCs/>
          <w:color w:val="074F6A" w:themeColor="accent4" w:themeShade="80"/>
          <w:sz w:val="24"/>
          <w:szCs w:val="24"/>
        </w:rPr>
        <w:t>¹</w:t>
      </w:r>
    </w:p>
    <w:p w:rsidR="00607EA1" w:rsidRPr="00BB7230" w:rsidRDefault="007C1877" w:rsidP="004175AC">
      <w:pPr>
        <w:pStyle w:val="Body"/>
        <w:spacing w:before="75" w:after="75" w:line="240" w:lineRule="auto"/>
        <w:rPr>
          <w:rFonts w:cstheme="majorBidi"/>
          <w:color w:val="000000" w:themeColor="text1"/>
          <w:sz w:val="18"/>
          <w:szCs w:val="16"/>
        </w:rPr>
      </w:pPr>
      <w:r w:rsidRPr="007C1877">
        <w:rPr>
          <w:rFonts w:cstheme="majorBidi"/>
          <w:color w:val="000000" w:themeColor="text1"/>
          <w:sz w:val="18"/>
          <w:szCs w:val="16"/>
        </w:rPr>
        <w:t>¹</w:t>
      </w:r>
      <w:r w:rsidR="004E1DAE" w:rsidRPr="004E1DAE">
        <w:rPr>
          <w:rFonts w:asciiTheme="minorHAnsi" w:hAnsiTheme="minorHAnsi" w:cstheme="minorBidi"/>
          <w:kern w:val="0"/>
          <w:sz w:val="22"/>
          <w:szCs w:val="22"/>
          <w14:ligatures w14:val="none"/>
        </w:rPr>
        <w:t xml:space="preserve"> </w:t>
      </w:r>
      <w:r w:rsidR="004E1DAE" w:rsidRPr="004E1DAE">
        <w:rPr>
          <w:rFonts w:cstheme="majorBidi"/>
          <w:color w:val="000000" w:themeColor="text1"/>
          <w:sz w:val="18"/>
          <w:szCs w:val="16"/>
          <w:lang w:val="en-GB"/>
        </w:rPr>
        <w:t>The University of Lahore Tea</w:t>
      </w:r>
      <w:r w:rsidR="004E1DAE">
        <w:rPr>
          <w:rFonts w:cstheme="majorBidi"/>
          <w:color w:val="000000" w:themeColor="text1"/>
          <w:sz w:val="18"/>
          <w:szCs w:val="16"/>
          <w:lang w:val="en-GB"/>
        </w:rPr>
        <w:t>ching Hospital, Lahore</w:t>
      </w:r>
      <w:r w:rsidRPr="007C1877">
        <w:rPr>
          <w:rFonts w:cstheme="majorBidi"/>
          <w:color w:val="000000" w:themeColor="text1"/>
          <w:sz w:val="18"/>
          <w:szCs w:val="16"/>
        </w:rPr>
        <w:t>,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proofErr w:type="spellStart"/>
      <w:r w:rsidR="004E1DAE" w:rsidRPr="004E1DAE">
        <w:rPr>
          <w:rFonts w:cstheme="majorBidi"/>
          <w:b/>
          <w:bCs/>
          <w:color w:val="074F6A" w:themeColor="accent4" w:themeShade="80"/>
          <w:sz w:val="18"/>
          <w:szCs w:val="16"/>
          <w:lang w:val="en-GB"/>
        </w:rPr>
        <w:t>Sameera</w:t>
      </w:r>
      <w:proofErr w:type="spellEnd"/>
      <w:r w:rsidR="004E1DAE" w:rsidRPr="004E1DAE">
        <w:rPr>
          <w:rFonts w:cstheme="majorBidi"/>
          <w:b/>
          <w:bCs/>
          <w:color w:val="074F6A" w:themeColor="accent4" w:themeShade="80"/>
          <w:sz w:val="18"/>
          <w:szCs w:val="16"/>
          <w:lang w:val="en-GB"/>
        </w:rPr>
        <w:t xml:space="preserve"> Butt</w:t>
      </w:r>
      <w:r w:rsidR="007C1877" w:rsidRPr="007C1877">
        <w:rPr>
          <w:rFonts w:cstheme="majorBidi"/>
          <w:b/>
          <w:bCs/>
          <w:color w:val="074F6A" w:themeColor="accent4" w:themeShade="80"/>
          <w:sz w:val="18"/>
          <w:szCs w:val="16"/>
          <w:lang w:val="pt-BR"/>
        </w:rPr>
        <w:t xml:space="preserve">, </w:t>
      </w:r>
      <w:r w:rsidR="004E1DAE" w:rsidRPr="004E1DAE">
        <w:rPr>
          <w:rFonts w:cstheme="majorBidi"/>
          <w:b/>
          <w:bCs/>
          <w:color w:val="074F6A" w:themeColor="accent4" w:themeShade="80"/>
          <w:sz w:val="18"/>
          <w:szCs w:val="16"/>
          <w:lang w:val="pt-BR"/>
        </w:rPr>
        <w:t>buttsameera@gmail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4E1DA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4E1DA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4E1DA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30 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4E1DAE">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SB; Design: SB; Data Collection: SB; Analysis: SB; Drafting: SB</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4E1DAE" w:rsidRPr="004E1DAE">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The University of Lahore Teaching Hospital, Lahore, Pakistan</w:t>
      </w:r>
      <w:r w:rsidR="004E1DAE" w:rsidRPr="004E1DAE">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4E1DAE">
      <w:pPr>
        <w:pStyle w:val="Heading1"/>
      </w:pPr>
      <w:r w:rsidRPr="00BB7230">
        <w:t>Abstract</w:t>
      </w:r>
    </w:p>
    <w:p w:rsidR="004E1DAE" w:rsidRPr="004E1DAE" w:rsidRDefault="004E1DAE" w:rsidP="004E1DAE">
      <w:pPr>
        <w:pStyle w:val="Body"/>
        <w:rPr>
          <w:rFonts w:cstheme="majorBidi"/>
          <w:color w:val="000000" w:themeColor="text1"/>
        </w:rPr>
      </w:pPr>
      <w:r w:rsidRPr="004E1DAE">
        <w:rPr>
          <w:rFonts w:cstheme="majorBidi"/>
          <w:b/>
          <w:bCs/>
          <w:color w:val="000000" w:themeColor="text1"/>
        </w:rPr>
        <w:t>Background:</w:t>
      </w:r>
      <w:r w:rsidRPr="004E1DAE">
        <w:rPr>
          <w:rFonts w:cstheme="majorBidi"/>
          <w:color w:val="000000" w:themeColor="text1"/>
        </w:rPr>
        <w:t xml:space="preserve"> Knee osteoarthritis is a major cause of chronic pain, disability, and reduced quality of life among older adults worldwide. Increasing evidence suggests that metabolic syndrome contributes to osteoarthritis progression through systemic inflammatory and metabolic mechanisms in addition to mechanical joint stress. However, limited regional data are available regarding the relationship between metabolic syndrome and clinical severity of knee osteoarthritis in Pakistani populations. </w:t>
      </w:r>
      <w:r w:rsidRPr="004E1DAE">
        <w:rPr>
          <w:rFonts w:cstheme="majorBidi"/>
          <w:b/>
          <w:bCs/>
          <w:color w:val="000000" w:themeColor="text1"/>
        </w:rPr>
        <w:t>Objective:</w:t>
      </w:r>
      <w:r w:rsidRPr="004E1DAE">
        <w:rPr>
          <w:rFonts w:cstheme="majorBidi"/>
          <w:color w:val="000000" w:themeColor="text1"/>
        </w:rPr>
        <w:t xml:space="preserve"> To evaluate the association between metabolic syndrome and clinical severity of knee osteoarthritis among patients presenting to The University of Lahore Teaching Hospital, Lahore. </w:t>
      </w:r>
      <w:r w:rsidRPr="004E1DAE">
        <w:rPr>
          <w:rFonts w:cstheme="majorBidi"/>
          <w:b/>
          <w:bCs/>
          <w:color w:val="000000" w:themeColor="text1"/>
        </w:rPr>
        <w:t>Methods:</w:t>
      </w:r>
      <w:r w:rsidRPr="004E1DAE">
        <w:rPr>
          <w:rFonts w:cstheme="majorBidi"/>
          <w:color w:val="000000" w:themeColor="text1"/>
        </w:rPr>
        <w:t xml:space="preserve"> This cross-sectional observational study included 186 participants comprising 93 patients with knee osteoarthritis and 93 controls. Demographic, anthropometric, metabolic, radiographic, and functional data were collected using standardized clinical assessment tools. Metabolic syndrome components including obesity, hypertension, diabetes mellitus or hyperglycemia, dyslipidemia, and central obesity were evaluated. Clinical severity was assessed using WOMAC pain and functional scores along with radiographic severity grading. Multivariable logistic regression analysis was performed to identify predictors of poor clinical outcome. </w:t>
      </w:r>
      <w:r w:rsidRPr="004E1DAE">
        <w:rPr>
          <w:rFonts w:cstheme="majorBidi"/>
          <w:b/>
          <w:bCs/>
          <w:color w:val="000000" w:themeColor="text1"/>
        </w:rPr>
        <w:t>Results:</w:t>
      </w:r>
      <w:r w:rsidRPr="004E1DAE">
        <w:rPr>
          <w:rFonts w:cstheme="majorBidi"/>
          <w:color w:val="000000" w:themeColor="text1"/>
        </w:rPr>
        <w:t xml:space="preserve"> Metabolic syndrome was identified in 52.2% of participants and demonstrated a strong independent association with poor clinical outcome (OR 3.42, 95% CI: 1.78–6.58; p&lt;0.001). Central obesity (OR 2.91, 95% CI: 1.52–5.57; p=0.001), hypertension (OR 1.88, 95% CI: 1.01–3.51; p=0.047), and BMI ≥30 kg/m² (OR 2.36, 95% CI: 1.13–4.94; p=0.022) were also significantly associated with adverse outcomes. The mean WOMAC pain, function, and total scores were 9.8 ± 4.6, 31.5 ± 13.2, and 45.7 ± 18.9, respectively. </w:t>
      </w:r>
      <w:r w:rsidRPr="004E1DAE">
        <w:rPr>
          <w:rFonts w:cstheme="majorBidi"/>
          <w:b/>
          <w:bCs/>
          <w:color w:val="000000" w:themeColor="text1"/>
        </w:rPr>
        <w:t>Conclusion:</w:t>
      </w:r>
      <w:r w:rsidRPr="004E1DAE">
        <w:rPr>
          <w:rFonts w:cstheme="majorBidi"/>
          <w:color w:val="000000" w:themeColor="text1"/>
        </w:rPr>
        <w:t xml:space="preserve"> Metabolic syndrome and obesity-related metabolic abnormalities were significantly associated with increased clinical severity, pain burden, and functional impairment among patients with knee osteoarthritis. Early identification and multidisciplinary management of metabolic risk factors may improve long-term outcomes and reduce disability in affected individuals. </w:t>
      </w:r>
      <w:r w:rsidRPr="004E1DAE">
        <w:rPr>
          <w:rFonts w:cstheme="majorBidi"/>
          <w:b/>
          <w:bCs/>
          <w:color w:val="000000" w:themeColor="text1"/>
        </w:rPr>
        <w:t>Keywords:</w:t>
      </w:r>
      <w:r w:rsidRPr="004E1DAE">
        <w:rPr>
          <w:rFonts w:cstheme="majorBidi"/>
          <w:color w:val="000000" w:themeColor="text1"/>
        </w:rPr>
        <w:t xml:space="preserve"> Knee osteoarthritis; </w:t>
      </w:r>
      <w:proofErr w:type="gramStart"/>
      <w:r w:rsidRPr="004E1DAE">
        <w:rPr>
          <w:rFonts w:cstheme="majorBidi"/>
          <w:color w:val="000000" w:themeColor="text1"/>
        </w:rPr>
        <w:t>Metabolic</w:t>
      </w:r>
      <w:proofErr w:type="gramEnd"/>
      <w:r w:rsidRPr="004E1DAE">
        <w:rPr>
          <w:rFonts w:cstheme="majorBidi"/>
          <w:color w:val="000000" w:themeColor="text1"/>
        </w:rPr>
        <w:t xml:space="preserve"> syndrome; Obesity; WOMAC; Functional limitation; Cross-sectional study; Hypertension; Pakistan</w:t>
      </w:r>
    </w:p>
    <w:p w:rsidR="004E1DAE" w:rsidRPr="004E1DAE" w:rsidRDefault="004E1DAE" w:rsidP="004E1DAE">
      <w:pPr>
        <w:pStyle w:val="Heading1"/>
      </w:pPr>
      <w:r w:rsidRPr="004E1DAE">
        <w:t>Introduction</w:t>
      </w:r>
    </w:p>
    <w:p w:rsidR="004E1DAE" w:rsidRPr="004E1DAE" w:rsidRDefault="004E1DAE" w:rsidP="004E1DAE">
      <w:pPr>
        <w:pStyle w:val="Body"/>
      </w:pPr>
      <w:r w:rsidRPr="004E1DAE">
        <w:t xml:space="preserve">Knee osteoarthritis (KOA) is one of the most prevalent chronic musculoskeletal disorders and represents a major cause of pain, disability, and impaired quality of life among older adults worldwide. The disease is characterized by progressive degeneration of articular cartilage, </w:t>
      </w:r>
      <w:proofErr w:type="spellStart"/>
      <w:r w:rsidRPr="004E1DAE">
        <w:t>subchondral</w:t>
      </w:r>
      <w:proofErr w:type="spellEnd"/>
      <w:r w:rsidRPr="004E1DAE">
        <w:t xml:space="preserve"> bone </w:t>
      </w:r>
      <w:proofErr w:type="spellStart"/>
      <w:r w:rsidRPr="004E1DAE">
        <w:t>remodeling</w:t>
      </w:r>
      <w:proofErr w:type="spellEnd"/>
      <w:r w:rsidRPr="004E1DAE">
        <w:t>, osteophyte formation, synovial inflammation, and gradual deterioration of joint function. Although aging and mechanical wear were traditionally considered the principal etiological factors, increasing evidence suggests that osteoarthritis is a multifactorial disorder strongly influenced by systemic metabolic and inflammatory mechanisms (1). The global burden of KOA continues to rise because of increasing life expectancy, obesity, sedentary lifestyle, and metabolic diseases, creating substantial healthcare and socioeconomic challenges, particularly in low- and middle-income countries (2).</w:t>
      </w:r>
    </w:p>
    <w:p w:rsidR="004E1DAE" w:rsidRPr="004E1DAE" w:rsidRDefault="004E1DAE" w:rsidP="004E1DAE">
      <w:pPr>
        <w:pStyle w:val="Body"/>
      </w:pPr>
      <w:r w:rsidRPr="004E1DAE">
        <w:t>Metabolic syndrome (</w:t>
      </w:r>
      <w:proofErr w:type="spellStart"/>
      <w:r w:rsidRPr="004E1DAE">
        <w:t>MetS</w:t>
      </w:r>
      <w:proofErr w:type="spellEnd"/>
      <w:r w:rsidRPr="004E1DAE">
        <w:t xml:space="preserve">) is a cluster of interrelated metabolic abnormalities including central obesity, hypertension, insulin resistance or </w:t>
      </w:r>
      <w:proofErr w:type="spellStart"/>
      <w:r w:rsidRPr="004E1DAE">
        <w:t>hyperglycemia</w:t>
      </w:r>
      <w:proofErr w:type="spellEnd"/>
      <w:r w:rsidRPr="004E1DAE">
        <w:t xml:space="preserve">, and </w:t>
      </w:r>
      <w:proofErr w:type="spellStart"/>
      <w:r w:rsidRPr="004E1DAE">
        <w:t>dyslipidemia</w:t>
      </w:r>
      <w:proofErr w:type="spellEnd"/>
      <w:r w:rsidRPr="004E1DAE">
        <w:t xml:space="preserve"> that collectively increase the risk of cardiovascular disease and type 2 diabetes mellitus. In recent years, substantial attention has been directed toward the relationship between </w:t>
      </w:r>
      <w:proofErr w:type="spellStart"/>
      <w:r w:rsidRPr="004E1DAE">
        <w:t>MetS</w:t>
      </w:r>
      <w:proofErr w:type="spellEnd"/>
      <w:r w:rsidRPr="004E1DAE">
        <w:t xml:space="preserve"> and osteoarthritis, leading to the emergence of the concept of “metabolic osteoarthritis,” a phenotype characterized by chronic low-grade inflammation and metabolic </w:t>
      </w:r>
      <w:proofErr w:type="spellStart"/>
      <w:r w:rsidRPr="004E1DAE">
        <w:t>dysregulation</w:t>
      </w:r>
      <w:proofErr w:type="spellEnd"/>
      <w:r w:rsidRPr="004E1DAE">
        <w:t xml:space="preserve"> </w:t>
      </w:r>
      <w:r w:rsidRPr="004E1DAE">
        <w:lastRenderedPageBreak/>
        <w:t xml:space="preserve">contributing to cartilage degeneration independent of mechanical overload (3). </w:t>
      </w:r>
      <w:proofErr w:type="spellStart"/>
      <w:r w:rsidRPr="004E1DAE">
        <w:t>Adipokines</w:t>
      </w:r>
      <w:proofErr w:type="spellEnd"/>
      <w:r w:rsidRPr="004E1DAE">
        <w:t xml:space="preserve"> such as </w:t>
      </w:r>
      <w:proofErr w:type="spellStart"/>
      <w:r w:rsidRPr="004E1DAE">
        <w:t>leptin</w:t>
      </w:r>
      <w:proofErr w:type="spellEnd"/>
      <w:r w:rsidRPr="004E1DAE">
        <w:t xml:space="preserve">, </w:t>
      </w:r>
      <w:proofErr w:type="spellStart"/>
      <w:r w:rsidRPr="004E1DAE">
        <w:t>adiponectin</w:t>
      </w:r>
      <w:proofErr w:type="spellEnd"/>
      <w:r w:rsidRPr="004E1DAE">
        <w:t xml:space="preserve">, </w:t>
      </w:r>
      <w:proofErr w:type="spellStart"/>
      <w:r w:rsidRPr="004E1DAE">
        <w:t>resistin</w:t>
      </w:r>
      <w:proofErr w:type="spellEnd"/>
      <w:r w:rsidRPr="004E1DAE">
        <w:t xml:space="preserve">, and inflammatory mediators including </w:t>
      </w:r>
      <w:proofErr w:type="spellStart"/>
      <w:r w:rsidRPr="004E1DAE">
        <w:t>tumor</w:t>
      </w:r>
      <w:proofErr w:type="spellEnd"/>
      <w:r w:rsidRPr="004E1DAE">
        <w:t xml:space="preserve"> necrosis factor-α and interleukin-6 have been implicated in cartilage destruction, synovial inflammation, and accelerated osteoarthritic progression among patients with metabolic abnormalities (4</w:t>
      </w:r>
      <w:proofErr w:type="gramStart"/>
      <w:r w:rsidRPr="004E1DAE">
        <w:t>,5</w:t>
      </w:r>
      <w:proofErr w:type="gramEnd"/>
      <w:r w:rsidRPr="004E1DAE">
        <w:t>).</w:t>
      </w:r>
    </w:p>
    <w:p w:rsidR="004E1DAE" w:rsidRPr="004E1DAE" w:rsidRDefault="004E1DAE" w:rsidP="004E1DAE">
      <w:pPr>
        <w:pStyle w:val="Body"/>
      </w:pPr>
      <w:r w:rsidRPr="004E1DAE">
        <w:t xml:space="preserve">Several epidemiological and clinical studies have demonstrated significant associations between individual components of </w:t>
      </w:r>
      <w:proofErr w:type="spellStart"/>
      <w:r w:rsidRPr="004E1DAE">
        <w:t>MetS</w:t>
      </w:r>
      <w:proofErr w:type="spellEnd"/>
      <w:r w:rsidRPr="004E1DAE">
        <w:t xml:space="preserve"> and KOA severity. Obesity, particularly central obesity, has consistently been identified as a major risk factor for both incident and progressive knee osteoarthritis because of increased biomechanical stress and systemic inflammatory activity (6). Hypertension and diabetes mellitus have also been linked with impaired </w:t>
      </w:r>
      <w:proofErr w:type="spellStart"/>
      <w:r w:rsidRPr="004E1DAE">
        <w:t>subchondral</w:t>
      </w:r>
      <w:proofErr w:type="spellEnd"/>
      <w:r w:rsidRPr="004E1DAE">
        <w:t xml:space="preserve"> bone perfusion, oxidative stress, and inflammatory cascades that may exacerbate cartilage damage and worsen functional outcomes (7). Furthermore, metabolic syndrome has been associated not only with the development of osteoarthritis but also with increased pain severity, functional limitation, radiographic progression, and poorer treatment outcomes (8</w:t>
      </w:r>
      <w:proofErr w:type="gramStart"/>
      <w:r w:rsidRPr="004E1DAE">
        <w:t>,9</w:t>
      </w:r>
      <w:proofErr w:type="gramEnd"/>
      <w:r w:rsidRPr="004E1DAE">
        <w:t>).</w:t>
      </w:r>
    </w:p>
    <w:p w:rsidR="004E1DAE" w:rsidRPr="004E1DAE" w:rsidRDefault="004E1DAE" w:rsidP="004E1DAE">
      <w:pPr>
        <w:pStyle w:val="Body"/>
      </w:pPr>
      <w:r w:rsidRPr="004E1DAE">
        <w:t xml:space="preserve">Recent meta-analyses and prospective cohort studies have strengthened the evidence supporting the bidirectional relationship between </w:t>
      </w:r>
      <w:proofErr w:type="spellStart"/>
      <w:r w:rsidRPr="004E1DAE">
        <w:t>MetS</w:t>
      </w:r>
      <w:proofErr w:type="spellEnd"/>
      <w:r w:rsidRPr="004E1DAE">
        <w:t xml:space="preserve"> and osteoarthritis. Liu et al. reported a significant association between metabolic syndrome and osteoarthritis across multiple observational studies, suggesting that metabolic abnormalities may contribute independently to disease pathogenesis beyond age and obesity alone (10). Similarly, </w:t>
      </w:r>
      <w:proofErr w:type="spellStart"/>
      <w:r w:rsidRPr="004E1DAE">
        <w:t>Nie</w:t>
      </w:r>
      <w:proofErr w:type="spellEnd"/>
      <w:r w:rsidRPr="004E1DAE">
        <w:t xml:space="preserve"> et al. demonstrated that individuals with metabolic syndrome had an increased risk of developing knee osteoarthritis in longitudinal cohort analyses (11). More recently, Zhang et al. observed that metabolic syndrome significantly increased osteoarthritis risk in a large UK </w:t>
      </w:r>
      <w:proofErr w:type="spellStart"/>
      <w:r w:rsidRPr="004E1DAE">
        <w:t>Biobank</w:t>
      </w:r>
      <w:proofErr w:type="spellEnd"/>
      <w:r w:rsidRPr="004E1DAE">
        <w:t xml:space="preserve"> cohort, reinforcing the importance of metabolic factors in musculoskeletal degeneration (12). Additionally, imaging-based studies have shown that metabolic syndrome may accelerate structural progression and magnetic resonance imaging deterioration in knee osteoarthritis patients (13).</w:t>
      </w:r>
    </w:p>
    <w:p w:rsidR="004E1DAE" w:rsidRPr="004E1DAE" w:rsidRDefault="004E1DAE" w:rsidP="004E1DAE">
      <w:pPr>
        <w:pStyle w:val="Body"/>
      </w:pPr>
      <w:r w:rsidRPr="004E1DAE">
        <w:t>Despite growing international evidence, limited data are available from South Asian populations, particularly Pakistan, where the prevalence of obesity, hypertension, diabetes mellitus, and sedentary lifestyle has increased substantially over recent decades. Regional differences in genetics, lifestyle patterns, healthcare accessibility, and socioeconomic factors may influence both the prevalence and clinical presentation of metabolic osteoarthritis. Furthermore, most local studies have focused primarily on prevalence estimates rather than evaluating the relationship between metabolic syndrome and clinical severity or functional impairment among knee osteoarthritis patients. This represents an important knowledge gap because identification of metabolic predictors may improve risk stratification, multidisciplinary management, and preventive strategies in high-risk populations.</w:t>
      </w:r>
    </w:p>
    <w:p w:rsidR="004E1DAE" w:rsidRPr="004E1DAE" w:rsidRDefault="004E1DAE" w:rsidP="004E1DAE">
      <w:pPr>
        <w:pStyle w:val="Body"/>
      </w:pPr>
      <w:r w:rsidRPr="004E1DAE">
        <w:t>Understanding the association between metabolic syndrome and knee osteoarthritis severity has important clinical implications. Early recognition of metabolic abnormalities among osteoarthritis patients may allow timely intervention targeting weight reduction, glycemic control, blood pressure optimization, and lifestyle modification, potentially reducing disease progression and disability burden. Moreover, integrated management approaches involving orthopedic surgeons, rheumatologists, endocrinologists, rehabilitation specialists, and primary care physicians may improve long-term patient outcomes in metabolically vulnerable individuals (14</w:t>
      </w:r>
      <w:proofErr w:type="gramStart"/>
      <w:r w:rsidRPr="004E1DAE">
        <w:t>,15</w:t>
      </w:r>
      <w:proofErr w:type="gramEnd"/>
      <w:r w:rsidRPr="004E1DAE">
        <w:t>).</w:t>
      </w:r>
    </w:p>
    <w:p w:rsidR="004E1DAE" w:rsidRPr="004E1DAE" w:rsidRDefault="004E1DAE" w:rsidP="004E1DAE">
      <w:pPr>
        <w:pStyle w:val="Body"/>
      </w:pPr>
      <w:r w:rsidRPr="004E1DAE">
        <w:t xml:space="preserve">Therefore, the present study aimed to evaluate the association between metabolic syndrome and the clinical severity of knee osteoarthritis among patients presenting to The University of Lahore Teaching Hospital, Lahore. The study further assessed the relationship between individual metabolic syndrome components and adverse clinical outcomes including pain severity, functional limitation, and radiographic disease severity. It was hypothesized that patients with metabolic syndrome would demonstrate significantly poorer clinical and functional outcomes compared with patients without metabolic syndrome. </w:t>
      </w:r>
    </w:p>
    <w:p w:rsidR="004E1DAE" w:rsidRPr="004E1DAE" w:rsidRDefault="004E1DAE" w:rsidP="004E1DAE">
      <w:pPr>
        <w:pStyle w:val="Heading1"/>
      </w:pPr>
      <w:r w:rsidRPr="004E1DAE">
        <w:t xml:space="preserve">Material </w:t>
      </w:r>
      <w:proofErr w:type="gramStart"/>
      <w:r w:rsidRPr="004E1DAE">
        <w:t>And</w:t>
      </w:r>
      <w:proofErr w:type="gramEnd"/>
      <w:r w:rsidRPr="004E1DAE">
        <w:t xml:space="preserve"> Methods</w:t>
      </w:r>
    </w:p>
    <w:p w:rsidR="004E1DAE" w:rsidRPr="004E1DAE" w:rsidRDefault="004E1DAE" w:rsidP="004E1DAE">
      <w:pPr>
        <w:pStyle w:val="Body"/>
      </w:pPr>
      <w:r w:rsidRPr="004E1DAE">
        <w:t xml:space="preserve">A cross-sectional observational study was conducted at The University of Lahore Teaching Hospital, Lahore, Pakistan, to evaluate the association between metabolic syndrome and clinical severity of knee osteoarthritis. A total of 186 participants were enrolled, comprising 93 patients with knee osteoarthritis and 93 controls, consistent with the comparative cross-sectional structure of the study dataset. </w:t>
      </w:r>
    </w:p>
    <w:p w:rsidR="004E1DAE" w:rsidRPr="004E1DAE" w:rsidRDefault="004E1DAE" w:rsidP="004E1DAE">
      <w:pPr>
        <w:pStyle w:val="Body"/>
      </w:pPr>
      <w:r w:rsidRPr="004E1DAE">
        <w:t xml:space="preserve">Participants were selected from orthopedic, medicine, and rehabilitation outpatient services. Adults presenting with clinical or radiographic evidence of knee osteoarthritis were included in the osteoarthritis group, while age-comparable individuals without radiographic knee osteoarthritis were included as controls. Patients with inflammatory arthritis, traumatic knee injury, previous knee replacement, malignancy, chronic systemic inflammatory disease, or incomplete clinical/metabolic data were excluded. Written informed consent was </w:t>
      </w:r>
      <w:r w:rsidRPr="004E1DAE">
        <w:lastRenderedPageBreak/>
        <w:t xml:space="preserve">obtained before enrollment, and demographic, anthropometric, clinical, radiographic, and functional outcome data were collected using a standardized </w:t>
      </w:r>
      <w:proofErr w:type="spellStart"/>
      <w:r w:rsidRPr="004E1DAE">
        <w:t>proforma</w:t>
      </w:r>
      <w:proofErr w:type="spellEnd"/>
      <w:r w:rsidRPr="004E1DAE">
        <w:t>.</w:t>
      </w:r>
    </w:p>
    <w:p w:rsidR="004E1DAE" w:rsidRPr="004E1DAE" w:rsidRDefault="004E1DAE" w:rsidP="004E1DAE">
      <w:pPr>
        <w:pStyle w:val="Body"/>
      </w:pPr>
      <w:r w:rsidRPr="004E1DAE">
        <w:t xml:space="preserve">Knee osteoarthritis was assessed clinically and </w:t>
      </w:r>
      <w:proofErr w:type="spellStart"/>
      <w:r w:rsidRPr="004E1DAE">
        <w:t>radiographically</w:t>
      </w:r>
      <w:proofErr w:type="spellEnd"/>
      <w:r w:rsidRPr="004E1DAE">
        <w:t>, while symptomatic knee osteoarthritis was defined by the presence of knee pain with compatible clinical and radiographic findings. Disease duration was recorded in years. Pain and functional impairment were evaluated using the Western Ontario and McMaster Universities Osteoarthritis Index, including WOMAC pain, function, and total scores. Radiographic severity was classified using standard knee radiographs, and severe knee osteoarthritis was recorded as a key outcome variable. Poor clinical outcome was defined using a composite clinical classification incorporating moderate-to-severe pain, functional limitation, and severe radiographic grade.</w:t>
      </w:r>
    </w:p>
    <w:p w:rsidR="004E1DAE" w:rsidRPr="004E1DAE" w:rsidRDefault="004E1DAE" w:rsidP="004E1DAE">
      <w:pPr>
        <w:pStyle w:val="Body"/>
      </w:pPr>
      <w:r w:rsidRPr="004E1DAE">
        <w:t>Metabolic syndrome was assessed using standard clinical and biochemical components, including central obesity, hypertension, diabetes mellitus or hyperglycemia, and dyslipidemia. Body mass index was calculated as weight in kilograms divided by height in meters squared, and obesity was categorized as BMI ≥30 kg/m². Waist circumference was measured in centimeters using standardized technique. Hypertension, diabetes or hyperglycemia, dyslipidemia, low physical activity, central obesity, and metabolic syndrome were recorded as primary explanatory variables because of their established biological relationship with osteoarthritis progression through mechanical load, insulin resistance, vascular dysfunction, oxidative stress, and low-grade systemic inflammation (16–20).</w:t>
      </w:r>
    </w:p>
    <w:p w:rsidR="004E1DAE" w:rsidRPr="004E1DAE" w:rsidRDefault="004E1DAE" w:rsidP="004E1DAE">
      <w:pPr>
        <w:pStyle w:val="Body"/>
      </w:pPr>
      <w:r w:rsidRPr="004E1DAE">
        <w:t>The sample size of 186 participants was considered adequate for detecting clinically meaningful differences between osteoarthritis and control groups and for estimating associations between metabolic syndrome and poor clinical outcome. Bias was minimized by applying uniform eligibility criteria, using standardized measurement procedures, recording outcomes on predefined data collection forms, and analyzing metabolic and osteoarthritis-related variables using consistent operational definitions. Potential confounding by age, sex, obesity, hypertension, diabetes or hyperglycemia, and central obesity was addressed through regression-based analysis.</w:t>
      </w:r>
    </w:p>
    <w:p w:rsidR="004E1DAE" w:rsidRPr="004E1DAE" w:rsidRDefault="004E1DAE" w:rsidP="004E1DAE">
      <w:pPr>
        <w:pStyle w:val="Body"/>
      </w:pPr>
      <w:r w:rsidRPr="004E1DAE">
        <w:t>Data were analyzed using descriptive and inferential statistics. Continuous variables such as age, BMI, waist circumference, disease duration, and WOMAC scores were summarized as mean ± standard deviation or median with interquartile range, as appropriate. Categorical variables were expressed as frequencies and percentages. Group comparisons were performed using appropriate statistical tests for categorical and continuous data. Associations between metabolic syndrome components and poor clinical outcome were assessed using odds ratios with 95% confidence intervals. Multivariable logistic regression was used to identify independent predictors of poor clinical outcome, including metabolic syndrome, central obesity, hypertension, diabetes or hyperglycemia, BMI ≥30 kg/m², female sex, and age ≥65 years as candidate predictors. A p-value &lt;0.05 was considered statistically significant.</w:t>
      </w:r>
    </w:p>
    <w:p w:rsidR="004E1DAE" w:rsidRPr="004E1DAE" w:rsidRDefault="004E1DAE" w:rsidP="004E1DAE">
      <w:pPr>
        <w:pStyle w:val="Body"/>
      </w:pPr>
      <w:r w:rsidRPr="004E1DAE">
        <w:t>The study was conducted according to standard ethical principles for human participant research. Participant confidentiality was maintained throughout data collection, analysis, and reporting, and all collected information was used only for research purposes. Data accuracy was ensured through cross-checking of clinical records, standardized entry of study variables, and verification of numerical summaries before final analysis.</w:t>
      </w:r>
    </w:p>
    <w:p w:rsidR="004E1DAE" w:rsidRPr="004E1DAE" w:rsidRDefault="004E1DAE" w:rsidP="004E1DAE">
      <w:pPr>
        <w:pStyle w:val="Heading1"/>
      </w:pPr>
      <w:r w:rsidRPr="004E1DAE">
        <w:t>Results</w:t>
      </w:r>
    </w:p>
    <w:p w:rsidR="004E1DAE" w:rsidRPr="004E1DAE" w:rsidRDefault="004E1DAE" w:rsidP="004E1DAE">
      <w:pPr>
        <w:pStyle w:val="Body"/>
      </w:pPr>
      <w:r w:rsidRPr="004E1DAE">
        <w:t xml:space="preserve">A total of 186 participants were included in the study, comprising 93 patients diagnosed with knee osteoarthritis and 93 control participants. The overall mean age of the study population was 64.2 ± 8.7 years, with females constituting 63.4% of participants. The mean body mass index was 29.4 ± 4.8 kg/m², while the mean waist circumference was 96.8 ± 11.6 cm. Among patients with osteoarthritis, the mean disease duration was 5.8 ± 3.4 years. Baseline demographic and clinical characteristics are summarized in Table 1. </w:t>
      </w:r>
    </w:p>
    <w:p w:rsidR="004E1DAE" w:rsidRPr="004E1DAE" w:rsidRDefault="004E1DAE" w:rsidP="004E1DAE">
      <w:pPr>
        <w:pStyle w:val="Caption"/>
      </w:pPr>
      <w:r w:rsidRPr="004E1DAE">
        <w:t>Table 1. Baseline Demographic and Clinical Characteristics of Study Participants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458"/>
        <w:gridCol w:w="1258"/>
        <w:gridCol w:w="1623"/>
        <w:gridCol w:w="1991"/>
        <w:gridCol w:w="697"/>
      </w:tblGrid>
      <w:tr w:rsidR="004E1DAE" w:rsidRPr="004E1DAE" w:rsidTr="004E1DAE">
        <w:trPr>
          <w:tblHeader/>
          <w:tblCellSpacing w:w="0" w:type="dxa"/>
        </w:trPr>
        <w:tc>
          <w:tcPr>
            <w:tcW w:w="1915"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Variable</w:t>
            </w:r>
          </w:p>
        </w:tc>
        <w:tc>
          <w:tcPr>
            <w:tcW w:w="697"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Total (n=186)</w:t>
            </w:r>
          </w:p>
        </w:tc>
        <w:tc>
          <w:tcPr>
            <w:tcW w:w="899"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OA Group (n=93)</w:t>
            </w:r>
          </w:p>
        </w:tc>
        <w:tc>
          <w:tcPr>
            <w:tcW w:w="1103"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Control Group (n=93)</w:t>
            </w:r>
          </w:p>
        </w:tc>
        <w:tc>
          <w:tcPr>
            <w:tcW w:w="386"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p-value</w:t>
            </w:r>
          </w:p>
        </w:tc>
      </w:tr>
      <w:tr w:rsidR="004E1DAE" w:rsidRPr="004E1DAE" w:rsidTr="004E1DAE">
        <w:trPr>
          <w:tblCellSpacing w:w="0" w:type="dxa"/>
        </w:trPr>
        <w:tc>
          <w:tcPr>
            <w:tcW w:w="1915"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Age, years (Mean ± SD)</w:t>
            </w:r>
          </w:p>
        </w:tc>
        <w:tc>
          <w:tcPr>
            <w:tcW w:w="69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64.2 ± 8.7</w:t>
            </w:r>
          </w:p>
        </w:tc>
        <w:tc>
          <w:tcPr>
            <w:tcW w:w="899"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65.1 ± 8.2</w:t>
            </w:r>
          </w:p>
        </w:tc>
        <w:tc>
          <w:tcPr>
            <w:tcW w:w="11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63.3 ± 9.1</w:t>
            </w:r>
          </w:p>
        </w:tc>
        <w:tc>
          <w:tcPr>
            <w:tcW w:w="386"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0.148</w:t>
            </w:r>
          </w:p>
        </w:tc>
      </w:tr>
      <w:tr w:rsidR="004E1DAE" w:rsidRPr="004E1DAE" w:rsidTr="004E1DAE">
        <w:trPr>
          <w:tblCellSpacing w:w="0" w:type="dxa"/>
        </w:trPr>
        <w:tc>
          <w:tcPr>
            <w:tcW w:w="1915"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Female sex, n (%)</w:t>
            </w:r>
          </w:p>
        </w:tc>
        <w:tc>
          <w:tcPr>
            <w:tcW w:w="69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118 (63.4)</w:t>
            </w:r>
          </w:p>
        </w:tc>
        <w:tc>
          <w:tcPr>
            <w:tcW w:w="899"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63 (67.7)</w:t>
            </w:r>
          </w:p>
        </w:tc>
        <w:tc>
          <w:tcPr>
            <w:tcW w:w="11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55 (59.1)</w:t>
            </w:r>
          </w:p>
        </w:tc>
        <w:tc>
          <w:tcPr>
            <w:tcW w:w="386"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0.221</w:t>
            </w:r>
          </w:p>
        </w:tc>
      </w:tr>
      <w:tr w:rsidR="004E1DAE" w:rsidRPr="004E1DAE" w:rsidTr="004E1DAE">
        <w:trPr>
          <w:tblCellSpacing w:w="0" w:type="dxa"/>
        </w:trPr>
        <w:tc>
          <w:tcPr>
            <w:tcW w:w="1915"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BMI, kg/m² (Mean ± SD)</w:t>
            </w:r>
          </w:p>
        </w:tc>
        <w:tc>
          <w:tcPr>
            <w:tcW w:w="69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29.4 ± 4.8</w:t>
            </w:r>
          </w:p>
        </w:tc>
        <w:tc>
          <w:tcPr>
            <w:tcW w:w="899"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30.2 ± 4.6</w:t>
            </w:r>
          </w:p>
        </w:tc>
        <w:tc>
          <w:tcPr>
            <w:tcW w:w="11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28.6 ± 4.9</w:t>
            </w:r>
          </w:p>
        </w:tc>
        <w:tc>
          <w:tcPr>
            <w:tcW w:w="386"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0.031</w:t>
            </w:r>
          </w:p>
        </w:tc>
      </w:tr>
      <w:tr w:rsidR="004E1DAE" w:rsidRPr="004E1DAE" w:rsidTr="004E1DAE">
        <w:trPr>
          <w:tblCellSpacing w:w="0" w:type="dxa"/>
        </w:trPr>
        <w:tc>
          <w:tcPr>
            <w:tcW w:w="1915"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BMI ≥30 kg/m², n (%)</w:t>
            </w:r>
          </w:p>
        </w:tc>
        <w:tc>
          <w:tcPr>
            <w:tcW w:w="69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39 (21.0)</w:t>
            </w:r>
          </w:p>
        </w:tc>
        <w:tc>
          <w:tcPr>
            <w:tcW w:w="899"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27 (29.0)</w:t>
            </w:r>
          </w:p>
        </w:tc>
        <w:tc>
          <w:tcPr>
            <w:tcW w:w="11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12 (12.9)</w:t>
            </w:r>
          </w:p>
        </w:tc>
        <w:tc>
          <w:tcPr>
            <w:tcW w:w="386"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0.007</w:t>
            </w:r>
          </w:p>
        </w:tc>
      </w:tr>
      <w:tr w:rsidR="004E1DAE" w:rsidRPr="004E1DAE" w:rsidTr="004E1DAE">
        <w:trPr>
          <w:tblCellSpacing w:w="0" w:type="dxa"/>
        </w:trPr>
        <w:tc>
          <w:tcPr>
            <w:tcW w:w="1915"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Waist circumference, cm (Mean ± SD)</w:t>
            </w:r>
          </w:p>
        </w:tc>
        <w:tc>
          <w:tcPr>
            <w:tcW w:w="69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96.8 ± 11.6</w:t>
            </w:r>
          </w:p>
        </w:tc>
        <w:tc>
          <w:tcPr>
            <w:tcW w:w="899"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101.2 ± 10.3</w:t>
            </w:r>
          </w:p>
        </w:tc>
        <w:tc>
          <w:tcPr>
            <w:tcW w:w="11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92.4 ± 11.1</w:t>
            </w:r>
          </w:p>
        </w:tc>
        <w:tc>
          <w:tcPr>
            <w:tcW w:w="386"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&lt;0.001</w:t>
            </w:r>
          </w:p>
        </w:tc>
      </w:tr>
      <w:tr w:rsidR="004E1DAE" w:rsidRPr="004E1DAE" w:rsidTr="004E1DAE">
        <w:trPr>
          <w:tblCellSpacing w:w="0" w:type="dxa"/>
        </w:trPr>
        <w:tc>
          <w:tcPr>
            <w:tcW w:w="1915"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Disease duration, years (Mean ± SD)</w:t>
            </w:r>
          </w:p>
        </w:tc>
        <w:tc>
          <w:tcPr>
            <w:tcW w:w="697"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w:t>
            </w:r>
          </w:p>
        </w:tc>
        <w:tc>
          <w:tcPr>
            <w:tcW w:w="899"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5.8 ± 3.4</w:t>
            </w:r>
          </w:p>
        </w:tc>
        <w:tc>
          <w:tcPr>
            <w:tcW w:w="1103"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w:t>
            </w:r>
          </w:p>
        </w:tc>
        <w:tc>
          <w:tcPr>
            <w:tcW w:w="386"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w:t>
            </w:r>
          </w:p>
        </w:tc>
      </w:tr>
    </w:tbl>
    <w:p w:rsidR="004E1DAE" w:rsidRPr="004E1DAE" w:rsidRDefault="004E1DAE" w:rsidP="004E1DAE">
      <w:pPr>
        <w:pStyle w:val="Body"/>
      </w:pPr>
      <w:r w:rsidRPr="004E1DAE">
        <w:lastRenderedPageBreak/>
        <w:t xml:space="preserve">Metabolic abnormalities were highly prevalent among study participants. Metabolic syndrome was identified in 52.2% of participants, while central obesity was present in 54.3%. Hypertension and diabetes mellitus or hyperglycemia were observed in 48.9% and 40.9% of participants, respectively. Dyslipidemia was present in 45.2% of individuals, whereas low physical activity was reported by 38.7% of participants. Radiographic knee osteoarthritis was documented in 50.0% of participants, and symptomatic knee osteoarthritis was identified in 43.0%. Severe knee osteoarthritis was observed in 19.4% of the study population. Detailed distributions of clinical comorbidities and study variables are presented in Table 2. </w:t>
      </w:r>
    </w:p>
    <w:p w:rsidR="004E1DAE" w:rsidRPr="004E1DAE" w:rsidRDefault="004E1DAE" w:rsidP="004E1DAE">
      <w:pPr>
        <w:pStyle w:val="Caption"/>
      </w:pPr>
      <w:r w:rsidRPr="004E1DAE">
        <w:t>Table 2. Clinical Comorbidities and Study Variables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860"/>
        <w:gridCol w:w="1831"/>
        <w:gridCol w:w="1336"/>
      </w:tblGrid>
      <w:tr w:rsidR="004E1DAE" w:rsidRPr="004E1DAE" w:rsidTr="004E1DAE">
        <w:trPr>
          <w:tblHeader/>
          <w:tblCellSpacing w:w="0" w:type="dxa"/>
        </w:trPr>
        <w:tc>
          <w:tcPr>
            <w:tcW w:w="3246"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Variable</w:t>
            </w:r>
          </w:p>
        </w:tc>
        <w:tc>
          <w:tcPr>
            <w:tcW w:w="1014"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proofErr w:type="gramStart"/>
            <w:r w:rsidRPr="004E1DAE">
              <w:rPr>
                <w:b/>
                <w:color w:val="000000"/>
                <w:sz w:val="16"/>
              </w:rPr>
              <w:t>n</w:t>
            </w:r>
            <w:proofErr w:type="gramEnd"/>
            <w:r w:rsidRPr="004E1DAE">
              <w:rPr>
                <w:b/>
                <w:color w:val="000000"/>
                <w:sz w:val="16"/>
              </w:rPr>
              <w:t xml:space="preserve"> (%)</w:t>
            </w:r>
          </w:p>
        </w:tc>
        <w:tc>
          <w:tcPr>
            <w:tcW w:w="740"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p-value</w:t>
            </w:r>
          </w:p>
        </w:tc>
      </w:tr>
      <w:tr w:rsidR="004E1DAE" w:rsidRPr="004E1DAE" w:rsidTr="004E1DAE">
        <w:trPr>
          <w:tblCellSpacing w:w="0" w:type="dxa"/>
        </w:trPr>
        <w:tc>
          <w:tcPr>
            <w:tcW w:w="3246"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Metabolic syndrome</w:t>
            </w:r>
          </w:p>
        </w:tc>
        <w:tc>
          <w:tcPr>
            <w:tcW w:w="1014"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97 (52.2)</w:t>
            </w:r>
          </w:p>
        </w:tc>
        <w:tc>
          <w:tcPr>
            <w:tcW w:w="74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&lt;0.001</w:t>
            </w:r>
          </w:p>
        </w:tc>
      </w:tr>
      <w:tr w:rsidR="004E1DAE" w:rsidRPr="004E1DAE" w:rsidTr="004E1DAE">
        <w:trPr>
          <w:tblCellSpacing w:w="0" w:type="dxa"/>
        </w:trPr>
        <w:tc>
          <w:tcPr>
            <w:tcW w:w="3246"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Hypertension</w:t>
            </w:r>
          </w:p>
        </w:tc>
        <w:tc>
          <w:tcPr>
            <w:tcW w:w="1014"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91 (48.9)</w:t>
            </w:r>
          </w:p>
        </w:tc>
        <w:tc>
          <w:tcPr>
            <w:tcW w:w="74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0.047</w:t>
            </w:r>
          </w:p>
        </w:tc>
      </w:tr>
      <w:tr w:rsidR="004E1DAE" w:rsidRPr="004E1DAE" w:rsidTr="004E1DAE">
        <w:trPr>
          <w:tblCellSpacing w:w="0" w:type="dxa"/>
        </w:trPr>
        <w:tc>
          <w:tcPr>
            <w:tcW w:w="3246"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Diabetes mellitus / hyperglycemia</w:t>
            </w:r>
          </w:p>
        </w:tc>
        <w:tc>
          <w:tcPr>
            <w:tcW w:w="1014"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76 (40.9)</w:t>
            </w:r>
          </w:p>
        </w:tc>
        <w:tc>
          <w:tcPr>
            <w:tcW w:w="74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0.088</w:t>
            </w:r>
          </w:p>
        </w:tc>
      </w:tr>
      <w:tr w:rsidR="004E1DAE" w:rsidRPr="004E1DAE" w:rsidTr="004E1DAE">
        <w:trPr>
          <w:tblCellSpacing w:w="0" w:type="dxa"/>
        </w:trPr>
        <w:tc>
          <w:tcPr>
            <w:tcW w:w="3246"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Central obesity</w:t>
            </w:r>
          </w:p>
        </w:tc>
        <w:tc>
          <w:tcPr>
            <w:tcW w:w="1014"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101 (54.3)</w:t>
            </w:r>
          </w:p>
        </w:tc>
        <w:tc>
          <w:tcPr>
            <w:tcW w:w="74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0.001</w:t>
            </w:r>
          </w:p>
        </w:tc>
      </w:tr>
      <w:tr w:rsidR="004E1DAE" w:rsidRPr="004E1DAE" w:rsidTr="004E1DAE">
        <w:trPr>
          <w:tblCellSpacing w:w="0" w:type="dxa"/>
        </w:trPr>
        <w:tc>
          <w:tcPr>
            <w:tcW w:w="3246"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Dyslipidemia</w:t>
            </w:r>
          </w:p>
        </w:tc>
        <w:tc>
          <w:tcPr>
            <w:tcW w:w="1014"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84 (45.2)</w:t>
            </w:r>
          </w:p>
        </w:tc>
        <w:tc>
          <w:tcPr>
            <w:tcW w:w="74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0.114</w:t>
            </w:r>
          </w:p>
        </w:tc>
      </w:tr>
      <w:tr w:rsidR="004E1DAE" w:rsidRPr="004E1DAE" w:rsidTr="004E1DAE">
        <w:trPr>
          <w:tblCellSpacing w:w="0" w:type="dxa"/>
        </w:trPr>
        <w:tc>
          <w:tcPr>
            <w:tcW w:w="3246"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Low physical activity</w:t>
            </w:r>
          </w:p>
        </w:tc>
        <w:tc>
          <w:tcPr>
            <w:tcW w:w="1014"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72 (38.7)</w:t>
            </w:r>
          </w:p>
        </w:tc>
        <w:tc>
          <w:tcPr>
            <w:tcW w:w="74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0.041</w:t>
            </w:r>
          </w:p>
        </w:tc>
      </w:tr>
      <w:tr w:rsidR="004E1DAE" w:rsidRPr="004E1DAE" w:rsidTr="004E1DAE">
        <w:trPr>
          <w:tblCellSpacing w:w="0" w:type="dxa"/>
        </w:trPr>
        <w:tc>
          <w:tcPr>
            <w:tcW w:w="3246"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Radiographic knee OA</w:t>
            </w:r>
          </w:p>
        </w:tc>
        <w:tc>
          <w:tcPr>
            <w:tcW w:w="1014"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93 (50.0)</w:t>
            </w:r>
          </w:p>
        </w:tc>
        <w:tc>
          <w:tcPr>
            <w:tcW w:w="74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w:t>
            </w:r>
          </w:p>
        </w:tc>
      </w:tr>
      <w:tr w:rsidR="004E1DAE" w:rsidRPr="004E1DAE" w:rsidTr="004E1DAE">
        <w:trPr>
          <w:tblCellSpacing w:w="0" w:type="dxa"/>
        </w:trPr>
        <w:tc>
          <w:tcPr>
            <w:tcW w:w="3246"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Symptomatic knee OA</w:t>
            </w:r>
          </w:p>
        </w:tc>
        <w:tc>
          <w:tcPr>
            <w:tcW w:w="1014"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80 (43.0)</w:t>
            </w:r>
          </w:p>
        </w:tc>
        <w:tc>
          <w:tcPr>
            <w:tcW w:w="74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w:t>
            </w:r>
          </w:p>
        </w:tc>
      </w:tr>
      <w:tr w:rsidR="004E1DAE" w:rsidRPr="004E1DAE" w:rsidTr="004E1DAE">
        <w:trPr>
          <w:tblCellSpacing w:w="0" w:type="dxa"/>
        </w:trPr>
        <w:tc>
          <w:tcPr>
            <w:tcW w:w="3246"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Severe knee OA</w:t>
            </w:r>
          </w:p>
        </w:tc>
        <w:tc>
          <w:tcPr>
            <w:tcW w:w="1014"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36 (19.4)</w:t>
            </w:r>
          </w:p>
        </w:tc>
        <w:tc>
          <w:tcPr>
            <w:tcW w:w="740"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0.003</w:t>
            </w:r>
          </w:p>
        </w:tc>
      </w:tr>
    </w:tbl>
    <w:p w:rsidR="004E1DAE" w:rsidRPr="004E1DAE" w:rsidRDefault="004E1DAE" w:rsidP="004E1DAE">
      <w:pPr>
        <w:pStyle w:val="Body"/>
      </w:pPr>
      <w:r w:rsidRPr="004E1DAE">
        <w:t xml:space="preserve">Clinical outcome analysis demonstrated that 31.2% of participants experienced poor clinical outcomes. Moderate-to-severe pain was reported in 35.5% of participants, while functional limitation was observed in 38.2%. Severe radiographic grade was identified in 19.4% of cases. The mean WOMAC pain score was 9.8 ± 4.6, the mean WOMAC function score was 31.5 ± 13.2, and the mean total WOMAC score was 45.7 ± 18.9, indicating substantial symptom burden and impaired physical function among affected individuals. Table 3 summarizes the clinical outcomes and WOMAC assessment findings. </w:t>
      </w:r>
    </w:p>
    <w:p w:rsidR="004E1DAE" w:rsidRPr="004E1DAE" w:rsidRDefault="004E1DAE" w:rsidP="004E1DAE">
      <w:pPr>
        <w:pStyle w:val="Caption"/>
      </w:pPr>
      <w:r w:rsidRPr="004E1DAE">
        <w:t>Table 3. Clinical Outcomes and WOMAC Scores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454"/>
        <w:gridCol w:w="3255"/>
        <w:gridCol w:w="1318"/>
      </w:tblGrid>
      <w:tr w:rsidR="004E1DAE" w:rsidRPr="004E1DAE" w:rsidTr="004E1DAE">
        <w:trPr>
          <w:tblHeader/>
          <w:tblCellSpacing w:w="0" w:type="dxa"/>
        </w:trPr>
        <w:tc>
          <w:tcPr>
            <w:tcW w:w="2467"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Outcome Variable</w:t>
            </w:r>
          </w:p>
        </w:tc>
        <w:tc>
          <w:tcPr>
            <w:tcW w:w="1803"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n (%) / Mean ± SD</w:t>
            </w:r>
          </w:p>
        </w:tc>
        <w:tc>
          <w:tcPr>
            <w:tcW w:w="730"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p-value</w:t>
            </w:r>
          </w:p>
        </w:tc>
      </w:tr>
      <w:tr w:rsidR="004E1DAE" w:rsidRPr="004E1DAE" w:rsidTr="004E1DAE">
        <w:trPr>
          <w:tblCellSpacing w:w="0" w:type="dxa"/>
        </w:trPr>
        <w:tc>
          <w:tcPr>
            <w:tcW w:w="246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Poor clinical outcome</w:t>
            </w:r>
          </w:p>
        </w:tc>
        <w:tc>
          <w:tcPr>
            <w:tcW w:w="18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58 (31.2)</w:t>
            </w:r>
          </w:p>
        </w:tc>
        <w:tc>
          <w:tcPr>
            <w:tcW w:w="73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&lt;0.001</w:t>
            </w:r>
          </w:p>
        </w:tc>
      </w:tr>
      <w:tr w:rsidR="004E1DAE" w:rsidRPr="004E1DAE" w:rsidTr="004E1DAE">
        <w:trPr>
          <w:tblCellSpacing w:w="0" w:type="dxa"/>
        </w:trPr>
        <w:tc>
          <w:tcPr>
            <w:tcW w:w="246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Moderate-to-severe pain</w:t>
            </w:r>
          </w:p>
        </w:tc>
        <w:tc>
          <w:tcPr>
            <w:tcW w:w="18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66 (35.5)</w:t>
            </w:r>
          </w:p>
        </w:tc>
        <w:tc>
          <w:tcPr>
            <w:tcW w:w="73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0.002</w:t>
            </w:r>
          </w:p>
        </w:tc>
      </w:tr>
      <w:tr w:rsidR="004E1DAE" w:rsidRPr="004E1DAE" w:rsidTr="004E1DAE">
        <w:trPr>
          <w:tblCellSpacing w:w="0" w:type="dxa"/>
        </w:trPr>
        <w:tc>
          <w:tcPr>
            <w:tcW w:w="246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Functional limitation</w:t>
            </w:r>
          </w:p>
        </w:tc>
        <w:tc>
          <w:tcPr>
            <w:tcW w:w="18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71 (38.2)</w:t>
            </w:r>
          </w:p>
        </w:tc>
        <w:tc>
          <w:tcPr>
            <w:tcW w:w="73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&lt;0.001</w:t>
            </w:r>
          </w:p>
        </w:tc>
      </w:tr>
      <w:tr w:rsidR="004E1DAE" w:rsidRPr="004E1DAE" w:rsidTr="004E1DAE">
        <w:trPr>
          <w:tblCellSpacing w:w="0" w:type="dxa"/>
        </w:trPr>
        <w:tc>
          <w:tcPr>
            <w:tcW w:w="246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Severe radiographic grade</w:t>
            </w:r>
          </w:p>
        </w:tc>
        <w:tc>
          <w:tcPr>
            <w:tcW w:w="18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36 (19.4)</w:t>
            </w:r>
          </w:p>
        </w:tc>
        <w:tc>
          <w:tcPr>
            <w:tcW w:w="73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0.003</w:t>
            </w:r>
          </w:p>
        </w:tc>
      </w:tr>
      <w:tr w:rsidR="004E1DAE" w:rsidRPr="004E1DAE" w:rsidTr="004E1DAE">
        <w:trPr>
          <w:tblCellSpacing w:w="0" w:type="dxa"/>
        </w:trPr>
        <w:tc>
          <w:tcPr>
            <w:tcW w:w="246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WOMAC pain score</w:t>
            </w:r>
          </w:p>
        </w:tc>
        <w:tc>
          <w:tcPr>
            <w:tcW w:w="18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9.8 ± 4.6</w:t>
            </w:r>
          </w:p>
        </w:tc>
        <w:tc>
          <w:tcPr>
            <w:tcW w:w="73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&lt;0.001</w:t>
            </w:r>
          </w:p>
        </w:tc>
      </w:tr>
      <w:tr w:rsidR="004E1DAE" w:rsidRPr="004E1DAE" w:rsidTr="004E1DAE">
        <w:trPr>
          <w:tblCellSpacing w:w="0" w:type="dxa"/>
        </w:trPr>
        <w:tc>
          <w:tcPr>
            <w:tcW w:w="246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WOMAC function score</w:t>
            </w:r>
          </w:p>
        </w:tc>
        <w:tc>
          <w:tcPr>
            <w:tcW w:w="180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31.5 ± 13.2</w:t>
            </w:r>
          </w:p>
        </w:tc>
        <w:tc>
          <w:tcPr>
            <w:tcW w:w="730"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&lt;0.001</w:t>
            </w:r>
          </w:p>
        </w:tc>
      </w:tr>
      <w:tr w:rsidR="004E1DAE" w:rsidRPr="004E1DAE" w:rsidTr="004E1DAE">
        <w:trPr>
          <w:tblCellSpacing w:w="0" w:type="dxa"/>
        </w:trPr>
        <w:tc>
          <w:tcPr>
            <w:tcW w:w="2467"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Total WOMAC score</w:t>
            </w:r>
          </w:p>
        </w:tc>
        <w:tc>
          <w:tcPr>
            <w:tcW w:w="1803"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45.7 ± 18.9</w:t>
            </w:r>
          </w:p>
        </w:tc>
        <w:tc>
          <w:tcPr>
            <w:tcW w:w="730"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&lt;0.001</w:t>
            </w:r>
          </w:p>
        </w:tc>
      </w:tr>
    </w:tbl>
    <w:p w:rsidR="004E1DAE" w:rsidRPr="004E1DAE" w:rsidRDefault="004E1DAE" w:rsidP="004E1DAE">
      <w:pPr>
        <w:pStyle w:val="Body"/>
      </w:pPr>
      <w:r w:rsidRPr="004E1DAE">
        <w:t xml:space="preserve">Inferential analysis identified metabolic syndrome as a strong independent predictor of poor clinical outcome among patients with knee osteoarthritis (OR 3.42, 95% CI: 1.78–6.58, p&lt;0.001). Central obesity was also significantly associated with increased odds of poor clinical outcome (OR 2.91, 95% CI: 1.52–5.57, p=0.001). Hypertension demonstrated a modest but statistically significant association with adverse outcomes (OR 1.88, 95% CI: 1.01–3.51, p=0.047). Obesity defined as BMI ≥30 kg/m² was independently associated with poor clinical outcome (OR 2.36, 95% CI: 1.13–4.94, p=0.022). Diabetes mellitus or hyperglycemia demonstrated a positive trend toward increased risk; however, the association did not achieve statistical significance (OR 1.74, 95% CI: 0.92–3.28, p=0.088). Female sex and age ≥65 years were not significantly associated with poor clinical outcome. Detailed inferential statistics are presented in Table 4. </w:t>
      </w:r>
    </w:p>
    <w:p w:rsidR="004E1DAE" w:rsidRPr="004E1DAE" w:rsidRDefault="004E1DAE" w:rsidP="004E1DAE">
      <w:pPr>
        <w:pStyle w:val="Caption"/>
      </w:pPr>
      <w:r w:rsidRPr="004E1DAE">
        <w:t>Table 4. Inferential Analysis: Predictors of Poor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981"/>
        <w:gridCol w:w="330"/>
        <w:gridCol w:w="1296"/>
        <w:gridCol w:w="1923"/>
        <w:gridCol w:w="626"/>
        <w:gridCol w:w="2871"/>
      </w:tblGrid>
      <w:tr w:rsidR="004E1DAE" w:rsidRPr="004E1DAE" w:rsidTr="004E1DAE">
        <w:trPr>
          <w:tblHeader/>
          <w:tblCellSpacing w:w="0" w:type="dxa"/>
        </w:trPr>
        <w:tc>
          <w:tcPr>
            <w:tcW w:w="1097"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Predictor</w:t>
            </w:r>
          </w:p>
        </w:tc>
        <w:tc>
          <w:tcPr>
            <w:tcW w:w="183"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n</w:t>
            </w:r>
          </w:p>
        </w:tc>
        <w:tc>
          <w:tcPr>
            <w:tcW w:w="718"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Odds Ratio (OR)</w:t>
            </w:r>
          </w:p>
        </w:tc>
        <w:tc>
          <w:tcPr>
            <w:tcW w:w="1065"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95% Confidence Interval</w:t>
            </w:r>
          </w:p>
        </w:tc>
        <w:tc>
          <w:tcPr>
            <w:tcW w:w="347"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p-value</w:t>
            </w:r>
          </w:p>
        </w:tc>
        <w:tc>
          <w:tcPr>
            <w:tcW w:w="1591" w:type="pct"/>
            <w:tcBorders>
              <w:top w:val="single" w:sz="4" w:space="0" w:color="auto"/>
              <w:bottom w:val="single" w:sz="4" w:space="0" w:color="000000"/>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Interpretation</w:t>
            </w:r>
          </w:p>
        </w:tc>
      </w:tr>
      <w:tr w:rsidR="004E1DAE" w:rsidRPr="004E1DAE" w:rsidTr="004E1DAE">
        <w:trPr>
          <w:tblCellSpacing w:w="0" w:type="dxa"/>
        </w:trPr>
        <w:tc>
          <w:tcPr>
            <w:tcW w:w="109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Metabolic syndrome</w:t>
            </w:r>
          </w:p>
        </w:tc>
        <w:tc>
          <w:tcPr>
            <w:tcW w:w="18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97</w:t>
            </w:r>
          </w:p>
        </w:tc>
        <w:tc>
          <w:tcPr>
            <w:tcW w:w="718"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3.42</w:t>
            </w:r>
          </w:p>
        </w:tc>
        <w:tc>
          <w:tcPr>
            <w:tcW w:w="1065"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1.78–6.58</w:t>
            </w:r>
          </w:p>
        </w:tc>
        <w:tc>
          <w:tcPr>
            <w:tcW w:w="34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&lt;0.001</w:t>
            </w:r>
          </w:p>
        </w:tc>
        <w:tc>
          <w:tcPr>
            <w:tcW w:w="1591"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Strong independent predictor</w:t>
            </w:r>
          </w:p>
        </w:tc>
      </w:tr>
      <w:tr w:rsidR="004E1DAE" w:rsidRPr="004E1DAE" w:rsidTr="004E1DAE">
        <w:trPr>
          <w:tblCellSpacing w:w="0" w:type="dxa"/>
        </w:trPr>
        <w:tc>
          <w:tcPr>
            <w:tcW w:w="109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Central obesity</w:t>
            </w:r>
          </w:p>
        </w:tc>
        <w:tc>
          <w:tcPr>
            <w:tcW w:w="18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101</w:t>
            </w:r>
          </w:p>
        </w:tc>
        <w:tc>
          <w:tcPr>
            <w:tcW w:w="718"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2.91</w:t>
            </w:r>
          </w:p>
        </w:tc>
        <w:tc>
          <w:tcPr>
            <w:tcW w:w="1065"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1.52–5.57</w:t>
            </w:r>
          </w:p>
        </w:tc>
        <w:tc>
          <w:tcPr>
            <w:tcW w:w="34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0.001</w:t>
            </w:r>
          </w:p>
        </w:tc>
        <w:tc>
          <w:tcPr>
            <w:tcW w:w="1591"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Significant positive association</w:t>
            </w:r>
          </w:p>
        </w:tc>
      </w:tr>
      <w:tr w:rsidR="004E1DAE" w:rsidRPr="004E1DAE" w:rsidTr="004E1DAE">
        <w:trPr>
          <w:tblCellSpacing w:w="0" w:type="dxa"/>
        </w:trPr>
        <w:tc>
          <w:tcPr>
            <w:tcW w:w="109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Hypertension</w:t>
            </w:r>
          </w:p>
        </w:tc>
        <w:tc>
          <w:tcPr>
            <w:tcW w:w="18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91</w:t>
            </w:r>
          </w:p>
        </w:tc>
        <w:tc>
          <w:tcPr>
            <w:tcW w:w="718"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1.88</w:t>
            </w:r>
          </w:p>
        </w:tc>
        <w:tc>
          <w:tcPr>
            <w:tcW w:w="1065"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1.01–3.51</w:t>
            </w:r>
          </w:p>
        </w:tc>
        <w:tc>
          <w:tcPr>
            <w:tcW w:w="34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0.047</w:t>
            </w:r>
          </w:p>
        </w:tc>
        <w:tc>
          <w:tcPr>
            <w:tcW w:w="1591"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Modest association</w:t>
            </w:r>
          </w:p>
        </w:tc>
      </w:tr>
      <w:tr w:rsidR="004E1DAE" w:rsidRPr="004E1DAE" w:rsidTr="004E1DAE">
        <w:trPr>
          <w:tblCellSpacing w:w="0" w:type="dxa"/>
        </w:trPr>
        <w:tc>
          <w:tcPr>
            <w:tcW w:w="109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Diabetes / hyperglycemia</w:t>
            </w:r>
          </w:p>
        </w:tc>
        <w:tc>
          <w:tcPr>
            <w:tcW w:w="18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76</w:t>
            </w:r>
          </w:p>
        </w:tc>
        <w:tc>
          <w:tcPr>
            <w:tcW w:w="718"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1.74</w:t>
            </w:r>
          </w:p>
        </w:tc>
        <w:tc>
          <w:tcPr>
            <w:tcW w:w="1065"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0.92–3.28</w:t>
            </w:r>
          </w:p>
        </w:tc>
        <w:tc>
          <w:tcPr>
            <w:tcW w:w="34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0.088</w:t>
            </w:r>
          </w:p>
        </w:tc>
        <w:tc>
          <w:tcPr>
            <w:tcW w:w="1591"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Trend toward increased risk</w:t>
            </w:r>
          </w:p>
        </w:tc>
      </w:tr>
      <w:tr w:rsidR="004E1DAE" w:rsidRPr="004E1DAE" w:rsidTr="004E1DAE">
        <w:trPr>
          <w:tblCellSpacing w:w="0" w:type="dxa"/>
        </w:trPr>
        <w:tc>
          <w:tcPr>
            <w:tcW w:w="109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BMI ≥30 kg/m²</w:t>
            </w:r>
          </w:p>
        </w:tc>
        <w:tc>
          <w:tcPr>
            <w:tcW w:w="18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39</w:t>
            </w:r>
          </w:p>
        </w:tc>
        <w:tc>
          <w:tcPr>
            <w:tcW w:w="718"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2.36</w:t>
            </w:r>
          </w:p>
        </w:tc>
        <w:tc>
          <w:tcPr>
            <w:tcW w:w="1065"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1.13–4.94</w:t>
            </w:r>
          </w:p>
        </w:tc>
        <w:tc>
          <w:tcPr>
            <w:tcW w:w="34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0.022</w:t>
            </w:r>
          </w:p>
        </w:tc>
        <w:tc>
          <w:tcPr>
            <w:tcW w:w="1591"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Obesity associated with poor outcome</w:t>
            </w:r>
          </w:p>
        </w:tc>
      </w:tr>
      <w:tr w:rsidR="004E1DAE" w:rsidRPr="004E1DAE" w:rsidTr="004E1DAE">
        <w:trPr>
          <w:tblCellSpacing w:w="0" w:type="dxa"/>
        </w:trPr>
        <w:tc>
          <w:tcPr>
            <w:tcW w:w="1097" w:type="pct"/>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Female sex</w:t>
            </w:r>
          </w:p>
        </w:tc>
        <w:tc>
          <w:tcPr>
            <w:tcW w:w="183"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118</w:t>
            </w:r>
          </w:p>
        </w:tc>
        <w:tc>
          <w:tcPr>
            <w:tcW w:w="718"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1.69</w:t>
            </w:r>
          </w:p>
        </w:tc>
        <w:tc>
          <w:tcPr>
            <w:tcW w:w="1065"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0.86–3.31</w:t>
            </w:r>
          </w:p>
        </w:tc>
        <w:tc>
          <w:tcPr>
            <w:tcW w:w="347"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0.126</w:t>
            </w:r>
          </w:p>
        </w:tc>
        <w:tc>
          <w:tcPr>
            <w:tcW w:w="1591" w:type="pct"/>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Not statistically significant</w:t>
            </w:r>
          </w:p>
        </w:tc>
      </w:tr>
      <w:tr w:rsidR="004E1DAE" w:rsidRPr="004E1DAE" w:rsidTr="004E1DAE">
        <w:trPr>
          <w:tblCellSpacing w:w="0" w:type="dxa"/>
        </w:trPr>
        <w:tc>
          <w:tcPr>
            <w:tcW w:w="1097"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b/>
                <w:color w:val="000000"/>
                <w:sz w:val="16"/>
              </w:rPr>
            </w:pPr>
            <w:r w:rsidRPr="004E1DAE">
              <w:rPr>
                <w:b/>
                <w:color w:val="000000"/>
                <w:sz w:val="16"/>
              </w:rPr>
              <w:t>Age ≥65 years</w:t>
            </w:r>
          </w:p>
        </w:tc>
        <w:tc>
          <w:tcPr>
            <w:tcW w:w="183"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88</w:t>
            </w:r>
          </w:p>
        </w:tc>
        <w:tc>
          <w:tcPr>
            <w:tcW w:w="718"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1.52</w:t>
            </w:r>
          </w:p>
        </w:tc>
        <w:tc>
          <w:tcPr>
            <w:tcW w:w="1065"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0.81–2.84</w:t>
            </w:r>
          </w:p>
        </w:tc>
        <w:tc>
          <w:tcPr>
            <w:tcW w:w="347"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0.191</w:t>
            </w:r>
          </w:p>
        </w:tc>
        <w:tc>
          <w:tcPr>
            <w:tcW w:w="1591" w:type="pct"/>
            <w:tcBorders>
              <w:bottom w:val="single" w:sz="4" w:space="0" w:color="auto"/>
            </w:tcBorders>
            <w:shd w:val="clear" w:color="auto" w:fill="auto"/>
            <w:hideMark/>
          </w:tcPr>
          <w:p w:rsidR="004E1DAE" w:rsidRPr="004E1DAE" w:rsidRDefault="004E1DAE" w:rsidP="004E1DAE">
            <w:pPr>
              <w:pStyle w:val="Body"/>
              <w:spacing w:after="0" w:line="240" w:lineRule="auto"/>
              <w:jc w:val="left"/>
              <w:rPr>
                <w:color w:val="000000"/>
                <w:sz w:val="16"/>
              </w:rPr>
            </w:pPr>
            <w:r w:rsidRPr="004E1DAE">
              <w:rPr>
                <w:color w:val="000000"/>
                <w:sz w:val="16"/>
              </w:rPr>
              <w:t>Not statistically significant</w:t>
            </w:r>
          </w:p>
        </w:tc>
      </w:tr>
    </w:tbl>
    <w:p w:rsidR="004E1DAE" w:rsidRPr="004E1DAE" w:rsidRDefault="004E1DAE" w:rsidP="004E1DAE">
      <w:pPr>
        <w:pStyle w:val="Body"/>
      </w:pPr>
      <w:r w:rsidRPr="004E1DAE">
        <w:t>Description of Tables</w:t>
      </w:r>
    </w:p>
    <w:p w:rsidR="004E1DAE" w:rsidRPr="004E1DAE" w:rsidRDefault="004E1DAE" w:rsidP="004E1DAE">
      <w:pPr>
        <w:pStyle w:val="Caption"/>
      </w:pPr>
      <w:r w:rsidRPr="004E1DAE">
        <w:t xml:space="preserve">Table 1 summarizes the baseline demographic and clinical characteristics of the study population comprising 186 participants, including 93 patients with knee osteoarthritis and 93 controls. The mean age of the participants was 64.2 ± 8.7 years, with osteoarthritis patients being slightly older than controls (65.1 ± 8.2 </w:t>
      </w:r>
      <w:proofErr w:type="spellStart"/>
      <w:r w:rsidRPr="004E1DAE">
        <w:t>vs</w:t>
      </w:r>
      <w:proofErr w:type="spellEnd"/>
      <w:r w:rsidRPr="004E1DAE">
        <w:t xml:space="preserve"> 63.3 ± 9.1 years), although this difference was not statistically significant (p=0.148). Females constituted the majority of the study population, accounting for 63.4% of all participants, with a higher proportion observed in the osteoarthritis group compared with controls (67.7% </w:t>
      </w:r>
      <w:proofErr w:type="spellStart"/>
      <w:r w:rsidRPr="004E1DAE">
        <w:t>vs</w:t>
      </w:r>
      <w:proofErr w:type="spellEnd"/>
      <w:r w:rsidRPr="004E1DAE">
        <w:t xml:space="preserve"> 59.1%; p=0.221). Patients with osteoarthritis demonstrated significantly </w:t>
      </w:r>
      <w:r w:rsidRPr="004E1DAE">
        <w:lastRenderedPageBreak/>
        <w:t xml:space="preserve">higher body mass index values than controls (30.2 ± 4.6 </w:t>
      </w:r>
      <w:proofErr w:type="spellStart"/>
      <w:r w:rsidRPr="004E1DAE">
        <w:t>vs</w:t>
      </w:r>
      <w:proofErr w:type="spellEnd"/>
      <w:r w:rsidRPr="004E1DAE">
        <w:t xml:space="preserve"> 28.6 ± 4.9 kg/m²; p=0.031). Similarly, obesity defined as BMI ≥30 kg/m² was significantly more common among osteoarthritis patients (29.0% </w:t>
      </w:r>
      <w:proofErr w:type="spellStart"/>
      <w:r w:rsidRPr="004E1DAE">
        <w:t>vs</w:t>
      </w:r>
      <w:proofErr w:type="spellEnd"/>
      <w:r w:rsidRPr="004E1DAE">
        <w:t xml:space="preserve"> 12.9%; p=0.007). Waist circumference was also significantly elevated in the osteoarthritis group compared with controls (101.2 ± 10.3 cm </w:t>
      </w:r>
      <w:proofErr w:type="spellStart"/>
      <w:r w:rsidRPr="004E1DAE">
        <w:t>vs</w:t>
      </w:r>
      <w:proofErr w:type="spellEnd"/>
      <w:r w:rsidRPr="004E1DAE">
        <w:t xml:space="preserve"> 92.4 ± 11.1 cm; p&lt;0.001), suggesting a strong association between central obesity and knee osteoarthritis severity. The mean disease duration among osteoarthritis patients was 5.8 ± 3.4 years. </w:t>
      </w:r>
    </w:p>
    <w:p w:rsidR="004E1DAE" w:rsidRPr="004E1DAE" w:rsidRDefault="004E1DAE" w:rsidP="004E1DAE">
      <w:pPr>
        <w:pStyle w:val="Caption"/>
      </w:pPr>
      <w:r w:rsidRPr="004E1DAE">
        <w:t xml:space="preserve">Table 2 presents the distribution of metabolic and clinical comorbidities among study participants. Metabolic syndrome was identified in 52.2% of participants and demonstrated a statistically significant association with adverse osteoarthritis outcomes (p&lt;0.001). Central obesity was present in 54.3% of participants and showed a strong relationship with disease severity (p=0.001). Hypertension affected 48.9% of participants and was modestly associated with poorer clinical outcomes (p=0.047). Diabetes mellitus or hyperglycemia was documented in 40.9% of participants and demonstrated a positive but statistically non-significant trend toward worse disease burden (p=0.088). Dyslipidemia was present in 45.2% of the population without significant association (p=0.114). Low physical activity was reported in 38.7% of participants and showed a statistically significant association with osteoarthritis severity (p=0.041). Radiographic knee osteoarthritis was observed in 50.0% of the cohort, symptomatic osteoarthritis in 43.0%, and severe osteoarthritis in 19.4% of participants, indicating a considerable burden of clinically significant disease. </w:t>
      </w:r>
    </w:p>
    <w:p w:rsidR="004E1DAE" w:rsidRPr="004E1DAE" w:rsidRDefault="004E1DAE" w:rsidP="004E1DAE">
      <w:pPr>
        <w:pStyle w:val="Caption"/>
      </w:pPr>
      <w:r w:rsidRPr="004E1DAE">
        <w:t xml:space="preserve">Table 3 demonstrates the clinical outcomes and functional assessment findings among participants. Poor clinical outcome was identified in 31.2% of patients and was strongly associated with metabolic abnormalities (p&lt;0.001). Moderate-to-severe pain was reported in 35.5% of participants (p=0.002), while functional limitation affected 38.2% (p&lt;0.001). Severe radiographic grade was present in 19.4% of cases (p=0.003), reflecting substantial structural disease progression in a notable subset of patients. WOMAC-based assessment revealed a mean pain score of 9.8 ± 4.6, indicating moderate symptom severity. The mean WOMAC function score was 31.5 ± 13.2, while the mean total WOMAC score was 45.7 ± 18.9, demonstrating considerable impairment in daily physical activities and overall quality of life among patients with knee osteoarthritis. </w:t>
      </w:r>
    </w:p>
    <w:p w:rsidR="004E1DAE" w:rsidRPr="004E1DAE" w:rsidRDefault="004E1DAE" w:rsidP="004E1DAE">
      <w:pPr>
        <w:pStyle w:val="Caption"/>
      </w:pPr>
      <w:r w:rsidRPr="004E1DAE">
        <w:t xml:space="preserve">Table 4 presents the inferential analysis evaluating predictors of poor clinical outcome in patients with knee osteoarthritis. Metabolic syndrome emerged as the strongest independent predictor of poor clinical outcome, increasing the odds by more than threefold (OR 3.42, 95% CI: 1.78–6.58; p&lt;0.001). Central obesity was also significantly associated with adverse outcomes, with affected individuals demonstrating nearly three times higher odds of poor clinical status (OR 2.91, 95% CI: 1.52–5.57; p=0.001). Hypertension showed a modest but statistically significant association with poor outcome (OR 1.88, 95% CI: 1.01–3.51; p=0.047). Obesity defined by BMI ≥30 kg/m² independently increased the risk of poor clinical outcome by more than twofold (OR 2.36, 95% CI: 1.13–4.94; p=0.022). Although diabetes mellitus or hyperglycemia demonstrated increased odds of poor outcome (OR 1.74, 95% CI: 0.92–3.28), the association did not achieve statistical significance (p=0.088). Female sex and age ≥65 years were not significantly associated with poor clinical outcome, with p-values of 0.126 and 0.191, respectively. These findings collectively suggest that metabolic and obesity-related factors play a substantially greater role in determining osteoarthritis severity and functional decline than demographic characteristics alone. </w:t>
      </w:r>
    </w:p>
    <w:p w:rsidR="004E1DAE" w:rsidRPr="004E1DAE" w:rsidRDefault="002C57F7" w:rsidP="002C57F7">
      <w:pPr>
        <w:pStyle w:val="Body"/>
        <w:jc w:val="center"/>
      </w:pPr>
      <w:r>
        <w:rPr>
          <w:noProof/>
        </w:rPr>
        <w:drawing>
          <wp:inline distT="0" distB="0" distL="0" distR="0">
            <wp:extent cx="4572000" cy="2745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12_17_56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745125"/>
                    </a:xfrm>
                    <a:prstGeom prst="rect">
                      <a:avLst/>
                    </a:prstGeom>
                  </pic:spPr>
                </pic:pic>
              </a:graphicData>
            </a:graphic>
          </wp:inline>
        </w:drawing>
      </w:r>
      <w:bookmarkStart w:id="0" w:name="_GoBack"/>
      <w:bookmarkEnd w:id="0"/>
    </w:p>
    <w:p w:rsidR="004E1DAE" w:rsidRPr="004E1DAE" w:rsidRDefault="004E1DAE" w:rsidP="004E1DAE">
      <w:pPr>
        <w:pStyle w:val="Body"/>
      </w:pPr>
    </w:p>
    <w:p w:rsidR="004E1DAE" w:rsidRPr="004E1DAE" w:rsidRDefault="004E1DAE" w:rsidP="004E1DAE">
      <w:pPr>
        <w:pStyle w:val="Caption"/>
      </w:pPr>
      <w:r w:rsidRPr="004E1DAE">
        <w:t xml:space="preserve">Figure 1. Gradient Relationship </w:t>
      </w:r>
      <w:proofErr w:type="gramStart"/>
      <w:r w:rsidRPr="004E1DAE">
        <w:t>Between</w:t>
      </w:r>
      <w:proofErr w:type="gramEnd"/>
      <w:r w:rsidRPr="004E1DAE">
        <w:t xml:space="preserve"> Metabolic Risk Burden and Adverse Clinical Outcomes in Knee Osteoarthritis</w:t>
      </w:r>
    </w:p>
    <w:p w:rsidR="004E1DAE" w:rsidRPr="004E1DAE" w:rsidRDefault="004E1DAE" w:rsidP="004E1DAE">
      <w:pPr>
        <w:pStyle w:val="Body"/>
      </w:pPr>
      <w:r w:rsidRPr="004E1DAE">
        <w:t>A layered comparative visualization is recommended demonstrating the progressive increase in poor clinical outcomes across major metabolic risk factors in knee osteoarthritis patients. The figure should combine grouped gradient bars representing odds ratios with confidence interval overlays for metabolic syndrome, central obesity, hypertension, diabetes/hyperglycemia, obesity (BMI ≥30 kg/m²), female sex, and age ≥65 years. A secondary density-distribution layer may simultaneously depict the proportional prevalence of each metabolic variable within the study population, allowing integrated visualization of both disease burden and predictive strength. Metabolic syndrome demonstrated the highest association with poor clinical outcome (OR 3.42, 95% CI: 1.78–6.58), followed by central obesity (OR 2.91, 95% CI: 1.52–5.57) and BMI ≥30 kg/m² (OR 2.36, 95% CI: 1.13–</w:t>
      </w:r>
      <w:r w:rsidRPr="004E1DAE">
        <w:lastRenderedPageBreak/>
        <w:t>4.94). Hypertension showed a modest but statistically significant association (OR 1.88, 95% CI: 1.01–3.51), whereas diabetes or hyperglycemia demonstrated a non-significant positive trend (OR 1.74, 95% CI: 0.92–3.28). Female sex and age ≥65 years remained below statistical significance thresholds despite mild risk elevation. The visualization highlights a distinct metabolic severity gradient, suggesting that obesity-related and metabolic-inflammatory mechanisms contribute more strongly to adverse osteoarthritis outcomes than demographic variables alone. The integrated presentation further emphasizes the high prevalence overlap between metabolic syndrome (52.2%), central obesity (54.3%), and functional deterioration, supporting the concept of a metabolically driven osteoarthritis phenotype in this population</w:t>
      </w:r>
    </w:p>
    <w:p w:rsidR="004E1DAE" w:rsidRPr="004E1DAE" w:rsidRDefault="004E1DAE" w:rsidP="004E1DAE">
      <w:pPr>
        <w:pStyle w:val="Heading1"/>
      </w:pPr>
      <w:r w:rsidRPr="004E1DAE">
        <w:t>Discussion</w:t>
      </w:r>
    </w:p>
    <w:p w:rsidR="004E1DAE" w:rsidRPr="004E1DAE" w:rsidRDefault="004E1DAE" w:rsidP="004E1DAE">
      <w:pPr>
        <w:pStyle w:val="Body"/>
      </w:pPr>
      <w:r w:rsidRPr="004E1DAE">
        <w:t xml:space="preserve">The present study demonstrated a significant association between metabolic syndrome and adverse clinical outcomes among patients with knee osteoarthritis presenting to The University of Lahore Teaching Hospital, Lahore. Patients with metabolic syndrome exhibited substantially higher odds of poor clinical outcome, with metabolic syndrome emerging as the strongest independent predictor in multivariable analysis (OR 3.42, 95% CI: 1.78–6.58; p&lt;0.001). In addition, central obesity, hypertension, and BMI ≥30 kg/m² were significantly associated with increased disease severity and functional impairment. These findings support the growing concept that knee osteoarthritis is not solely a degenerative biomechanical disorder but also a metabolically mediated inflammatory disease influenced by systemic metabolic </w:t>
      </w:r>
      <w:proofErr w:type="spellStart"/>
      <w:r w:rsidRPr="004E1DAE">
        <w:t>dysregulation</w:t>
      </w:r>
      <w:proofErr w:type="spellEnd"/>
      <w:r w:rsidRPr="004E1DAE">
        <w:t xml:space="preserve"> and obesity-related inflammatory pathways (21</w:t>
      </w:r>
      <w:proofErr w:type="gramStart"/>
      <w:r w:rsidRPr="004E1DAE">
        <w:t>,22</w:t>
      </w:r>
      <w:proofErr w:type="gramEnd"/>
      <w:r w:rsidRPr="004E1DAE">
        <w:t>).</w:t>
      </w:r>
    </w:p>
    <w:p w:rsidR="004E1DAE" w:rsidRPr="004E1DAE" w:rsidRDefault="004E1DAE" w:rsidP="004E1DAE">
      <w:pPr>
        <w:pStyle w:val="Body"/>
      </w:pPr>
      <w:r w:rsidRPr="004E1DAE">
        <w:t>The prevalence of metabolic syndrome in the present study was 52.2%, which is consistent with previously reported frequencies among osteoarthritis populations. Several international studies have demonstrated similarly elevated rates of metabolic abnormalities among patients with knee osteoarthritis, particularly in older and obese populations (23</w:t>
      </w:r>
      <w:proofErr w:type="gramStart"/>
      <w:r w:rsidRPr="004E1DAE">
        <w:t>,24</w:t>
      </w:r>
      <w:proofErr w:type="gramEnd"/>
      <w:r w:rsidRPr="004E1DAE">
        <w:t xml:space="preserve">). Franco et al. reported a significant association between metabolic syndrome and knee osteoarthritis among elderly patients, emphasizing the contribution of central obesity and metabolic dysfunction to disease burden (25). Likewise, </w:t>
      </w:r>
      <w:proofErr w:type="spellStart"/>
      <w:r w:rsidRPr="004E1DAE">
        <w:t>Motwani</w:t>
      </w:r>
      <w:proofErr w:type="spellEnd"/>
      <w:r w:rsidRPr="004E1DAE">
        <w:t xml:space="preserve"> et al. observed a significantly greater prevalence of metabolic syndrome among patients with knee osteoarthritis compared with controls, further supporting the metabolic phenotype of osteoarthritis (26). The high prevalence observed in the present study may reflect increasing rates of obesity, diabetes mellitus, sedentary lifestyle, and cardiovascular risk factors within the Pakistani population.</w:t>
      </w:r>
    </w:p>
    <w:p w:rsidR="004E1DAE" w:rsidRPr="004E1DAE" w:rsidRDefault="004E1DAE" w:rsidP="004E1DAE">
      <w:pPr>
        <w:pStyle w:val="Body"/>
      </w:pPr>
      <w:r w:rsidRPr="004E1DAE">
        <w:t xml:space="preserve">Central obesity demonstrated a strong association with poor clinical outcomes, increasing the odds of adverse disease status by nearly threefold. This finding is biologically plausible because visceral adiposity contributes to chronic low-grade systemic inflammation through secretion of </w:t>
      </w:r>
      <w:proofErr w:type="spellStart"/>
      <w:r w:rsidRPr="004E1DAE">
        <w:t>adipokines</w:t>
      </w:r>
      <w:proofErr w:type="spellEnd"/>
      <w:r w:rsidRPr="004E1DAE">
        <w:t xml:space="preserve">, inflammatory cytokines, and oxidative mediators that directly influence cartilage metabolism and synovial inflammation (27). Obesity additionally increases biomechanical loading across weight-bearing joints, accelerating cartilage degeneration and </w:t>
      </w:r>
      <w:proofErr w:type="spellStart"/>
      <w:r w:rsidRPr="004E1DAE">
        <w:t>subchondral</w:t>
      </w:r>
      <w:proofErr w:type="spellEnd"/>
      <w:r w:rsidRPr="004E1DAE">
        <w:t xml:space="preserve"> bone remodeling. Recent reviews have emphasized that obesity-related osteoarthritis involves both mechanical stress and inflammatory-metabolic mechanisms, reinforcing the concept of metabolically driven joint degeneration (28</w:t>
      </w:r>
      <w:proofErr w:type="gramStart"/>
      <w:r w:rsidRPr="004E1DAE">
        <w:t>,29</w:t>
      </w:r>
      <w:proofErr w:type="gramEnd"/>
      <w:r w:rsidRPr="004E1DAE">
        <w:t>). The significantly higher waist circumference and BMI observed among osteoarthritis patients in the present study further support this relationship.</w:t>
      </w:r>
    </w:p>
    <w:p w:rsidR="004E1DAE" w:rsidRPr="004E1DAE" w:rsidRDefault="004E1DAE" w:rsidP="004E1DAE">
      <w:pPr>
        <w:pStyle w:val="Body"/>
      </w:pPr>
      <w:r w:rsidRPr="004E1DAE">
        <w:t xml:space="preserve">Hypertension also demonstrated a statistically significant association with poor clinical outcome. Vascular dysfunction associated with hypertension may impair </w:t>
      </w:r>
      <w:proofErr w:type="spellStart"/>
      <w:r w:rsidRPr="004E1DAE">
        <w:t>subchondral</w:t>
      </w:r>
      <w:proofErr w:type="spellEnd"/>
      <w:r w:rsidRPr="004E1DAE">
        <w:t xml:space="preserve"> bone perfusion and contribute to cartilage ischemia, oxidative stress, and progressive joint degeneration (30). Although diabetes mellitus or hyperglycemia showed only a non-significant positive trend in the present analysis, previous evidence suggests that chronic hyperglycemia may promote advanced </w:t>
      </w:r>
      <w:proofErr w:type="spellStart"/>
      <w:r w:rsidRPr="004E1DAE">
        <w:t>glycation</w:t>
      </w:r>
      <w:proofErr w:type="spellEnd"/>
      <w:r w:rsidRPr="004E1DAE">
        <w:t xml:space="preserve"> end-product accumulation, oxidative stress, and inflammatory activation within joint tissues (31). The lack of statistical significance in the present study may be attributable to sample size limitations or variability in glycemic severity and disease duration among participants.</w:t>
      </w:r>
    </w:p>
    <w:p w:rsidR="004E1DAE" w:rsidRPr="004E1DAE" w:rsidRDefault="004E1DAE" w:rsidP="004E1DAE">
      <w:pPr>
        <w:pStyle w:val="Body"/>
      </w:pPr>
      <w:r w:rsidRPr="004E1DAE">
        <w:t>The WOMAC assessment findings revealed substantial pain burden and functional impairment among patients with knee osteoarthritis. The mean WOMAC total score of 45.7 ± 18.9 reflects moderate-to-severe deterioration in quality of life and physical functioning. Patients with metabolic abnormalities demonstrated higher frequencies of moderate-to-severe pain and functional limitation, suggesting that metabolic syndrome may exacerbate symptom severity beyond structural radiographic disease alone. Similar findings have been reported in prior studies where metabolic syndrome was associated with increased pain sensitivity, poorer mobility, and accelerated functional decline (32</w:t>
      </w:r>
      <w:proofErr w:type="gramStart"/>
      <w:r w:rsidRPr="004E1DAE">
        <w:t>,33</w:t>
      </w:r>
      <w:proofErr w:type="gramEnd"/>
      <w:r w:rsidRPr="004E1DAE">
        <w:t xml:space="preserve">). Chronic systemic inflammation and </w:t>
      </w:r>
      <w:proofErr w:type="spellStart"/>
      <w:r w:rsidRPr="004E1DAE">
        <w:t>adipokine</w:t>
      </w:r>
      <w:proofErr w:type="spellEnd"/>
      <w:r w:rsidRPr="004E1DAE">
        <w:t>-mediated sensitization of nociceptive pathways may partially explain these observations.</w:t>
      </w:r>
    </w:p>
    <w:p w:rsidR="004E1DAE" w:rsidRPr="004E1DAE" w:rsidRDefault="004E1DAE" w:rsidP="004E1DAE">
      <w:pPr>
        <w:pStyle w:val="Body"/>
      </w:pPr>
      <w:r w:rsidRPr="004E1DAE">
        <w:lastRenderedPageBreak/>
        <w:t xml:space="preserve">The present findings are also supported by large-scale cohort studies and meta-analyses evaluating the longitudinal relationship between metabolic syndrome and osteoarthritis progression. Liu et al. reported a bidirectional association between metabolic syndrome and osteoarthritis across observational studies, while </w:t>
      </w:r>
      <w:proofErr w:type="spellStart"/>
      <w:r w:rsidRPr="004E1DAE">
        <w:t>Nie</w:t>
      </w:r>
      <w:proofErr w:type="spellEnd"/>
      <w:r w:rsidRPr="004E1DAE">
        <w:t xml:space="preserve"> et al. demonstrated increased incidence of knee osteoarthritis among individuals with metabolic syndrome in prospective cohort analyses (10</w:t>
      </w:r>
      <w:proofErr w:type="gramStart"/>
      <w:r w:rsidRPr="004E1DAE">
        <w:t>,11</w:t>
      </w:r>
      <w:proofErr w:type="gramEnd"/>
      <w:r w:rsidRPr="004E1DAE">
        <w:t>). Furthermore, Jansen et al. observed that metabolic syndrome accelerated structural progression of knee osteoarthritis on magnetic resonance imaging, highlighting the role of metabolic factors in disease progression beyond symptom severity alone (13). These studies collectively reinforce the hypothesis that metabolic abnormalities contribute independently to osteoarthritis development and progression.</w:t>
      </w:r>
    </w:p>
    <w:p w:rsidR="004E1DAE" w:rsidRPr="004E1DAE" w:rsidRDefault="004E1DAE" w:rsidP="004E1DAE">
      <w:pPr>
        <w:pStyle w:val="Body"/>
      </w:pPr>
      <w:r w:rsidRPr="004E1DAE">
        <w:t>The clinical implications of the present study are important for multidisciplinary management strategies in knee osteoarthritis. Identification of metabolic syndrome and obesity-related risk factors may facilitate early intervention targeting weight reduction, blood pressure optimization, glycemic control, and physical activity promotion. Integrated management involving orthopedic surgeons, endocrinologists, rehabilitation specialists, rheumatologists, and primary care physicians may improve symptom control and reduce long-term disability. Given the high prevalence of metabolic syndrome observed in this cohort, routine metabolic screening among patients with knee osteoarthritis may be clinically beneficial, particularly in high-risk populations with obesity and sedentary lifestyle patterns.</w:t>
      </w:r>
    </w:p>
    <w:p w:rsidR="004E1DAE" w:rsidRPr="004E1DAE" w:rsidRDefault="004E1DAE" w:rsidP="004E1DAE">
      <w:pPr>
        <w:pStyle w:val="Body"/>
      </w:pPr>
      <w:r w:rsidRPr="004E1DAE">
        <w:t>Several limitations should be considered while interpreting the findings of this study. The cross-sectional design limits the ability to establish causal relationships between metabolic syndrome and osteoarthritis severity. The study was conducted at a single tertiary-care center, which may limit generalizability to broader community populations. Residual confounding related to dietary habits, medication use, socioeconomic status, and physical activity intensity may also have influenced the observed associations. Additionally, temporal progression of osteoarthritis and longitudinal metabolic changes could not be evaluated. Despite these limitations, the study provides valuable regional evidence regarding the relationship between metabolic syndrome and knee osteoarthritis severity within a Pakistani tertiary-care setting and contributes clinically relevant data to the growing literature on metabolic osteoarthritis.</w:t>
      </w:r>
    </w:p>
    <w:p w:rsidR="004E1DAE" w:rsidRPr="004E1DAE" w:rsidRDefault="004E1DAE" w:rsidP="004E1DAE">
      <w:pPr>
        <w:pStyle w:val="Heading1"/>
      </w:pPr>
      <w:r w:rsidRPr="004E1DAE">
        <w:t>Conclusion</w:t>
      </w:r>
    </w:p>
    <w:p w:rsidR="004E1DAE" w:rsidRPr="004E1DAE" w:rsidRDefault="004E1DAE" w:rsidP="004E1DAE">
      <w:pPr>
        <w:pStyle w:val="Body"/>
      </w:pPr>
      <w:r w:rsidRPr="004E1DAE">
        <w:t>Metabolic syndrome was significantly associated with increased clinical severity and poorer functional outcomes among patients with knee osteoarthritis in this tertiary-care population. Patients with metabolic syndrome demonstrated substantially higher odds of poor clinical outcome, while central obesity, hypertension, and obesity defined by elevated body mass index were independently associated with greater disease burden, pain severity, and functional limitation. These findings support the growing evidence that knee osteoarthritis is influenced not only by mechanical degeneration but also by systemic metabolic and inflammatory mechanisms. The high prevalence of metabolic abnormalities observed in the study highlights the importance of routine metabolic evaluation and multidisciplinary management approaches in patients with knee osteoarthritis. Early identification and targeted control of metabolic risk factors may help reduce disease progression, improve quality of life, and minimize long-term disability among affected individuals.</w:t>
      </w:r>
    </w:p>
    <w:p w:rsidR="004E1DAE" w:rsidRPr="004E1DAE" w:rsidRDefault="004E1DAE" w:rsidP="004E1DAE">
      <w:pPr>
        <w:pStyle w:val="Heading1"/>
      </w:pPr>
      <w:r w:rsidRPr="004E1DAE">
        <w:t xml:space="preserve">References </w:t>
      </w:r>
    </w:p>
    <w:p w:rsidR="004E1DAE" w:rsidRPr="004E1DAE" w:rsidRDefault="004E1DAE" w:rsidP="004E1DAE">
      <w:pPr>
        <w:pStyle w:val="Body"/>
        <w:numPr>
          <w:ilvl w:val="0"/>
          <w:numId w:val="18"/>
        </w:numPr>
      </w:pPr>
      <w:proofErr w:type="spellStart"/>
      <w:r w:rsidRPr="004E1DAE">
        <w:t>Awan</w:t>
      </w:r>
      <w:proofErr w:type="spellEnd"/>
      <w:r w:rsidRPr="004E1DAE">
        <w:t xml:space="preserve"> U, </w:t>
      </w:r>
      <w:proofErr w:type="spellStart"/>
      <w:r w:rsidRPr="004E1DAE">
        <w:t>Waraich</w:t>
      </w:r>
      <w:proofErr w:type="spellEnd"/>
      <w:r w:rsidRPr="004E1DAE">
        <w:t xml:space="preserve"> R, </w:t>
      </w:r>
      <w:proofErr w:type="spellStart"/>
      <w:r w:rsidRPr="004E1DAE">
        <w:t>Nangrejo</w:t>
      </w:r>
      <w:proofErr w:type="spellEnd"/>
      <w:r w:rsidRPr="004E1DAE">
        <w:t xml:space="preserve"> R, Noor SS, </w:t>
      </w:r>
      <w:proofErr w:type="gramStart"/>
      <w:r w:rsidRPr="004E1DAE">
        <w:t>Siddiqui</w:t>
      </w:r>
      <w:proofErr w:type="gramEnd"/>
      <w:r w:rsidRPr="004E1DAE">
        <w:t xml:space="preserve"> I, </w:t>
      </w:r>
      <w:proofErr w:type="spellStart"/>
      <w:r w:rsidRPr="004E1DAE">
        <w:t>Ikram</w:t>
      </w:r>
      <w:proofErr w:type="spellEnd"/>
      <w:r w:rsidRPr="004E1DAE">
        <w:t xml:space="preserve"> K. RAGE </w:t>
      </w:r>
      <w:proofErr w:type="spellStart"/>
      <w:r w:rsidRPr="004E1DAE">
        <w:t>signalling</w:t>
      </w:r>
      <w:proofErr w:type="spellEnd"/>
      <w:r w:rsidRPr="004E1DAE">
        <w:t xml:space="preserve"> contributes to oxidative stress and inflammation in knee osteoarthritis patients with metabolic syndrome. </w:t>
      </w:r>
      <w:proofErr w:type="spellStart"/>
      <w:r w:rsidRPr="004E1DAE">
        <w:t>Clin</w:t>
      </w:r>
      <w:proofErr w:type="spellEnd"/>
      <w:r w:rsidRPr="004E1DAE">
        <w:t xml:space="preserve"> </w:t>
      </w:r>
      <w:proofErr w:type="spellStart"/>
      <w:r w:rsidRPr="004E1DAE">
        <w:t>Exp</w:t>
      </w:r>
      <w:proofErr w:type="spellEnd"/>
      <w:r w:rsidRPr="004E1DAE">
        <w:t xml:space="preserve"> </w:t>
      </w:r>
      <w:proofErr w:type="spellStart"/>
      <w:r w:rsidRPr="004E1DAE">
        <w:t>Rheumatol</w:t>
      </w:r>
      <w:proofErr w:type="spellEnd"/>
      <w:r w:rsidRPr="004E1DAE">
        <w:t>. 2024. doi:10.55563/</w:t>
      </w:r>
      <w:proofErr w:type="spellStart"/>
      <w:r w:rsidRPr="004E1DAE">
        <w:t>clinexprheumatol</w:t>
      </w:r>
      <w:proofErr w:type="spellEnd"/>
      <w:r w:rsidRPr="004E1DAE">
        <w:t xml:space="preserve">/t3mejo </w:t>
      </w:r>
    </w:p>
    <w:p w:rsidR="004E1DAE" w:rsidRPr="004E1DAE" w:rsidRDefault="004E1DAE" w:rsidP="004E1DAE">
      <w:pPr>
        <w:pStyle w:val="Body"/>
        <w:numPr>
          <w:ilvl w:val="0"/>
          <w:numId w:val="18"/>
        </w:numPr>
      </w:pPr>
      <w:proofErr w:type="spellStart"/>
      <w:r w:rsidRPr="004E1DAE">
        <w:t>Azzini</w:t>
      </w:r>
      <w:proofErr w:type="spellEnd"/>
      <w:r w:rsidRPr="004E1DAE">
        <w:t xml:space="preserve"> G, Santos G, </w:t>
      </w:r>
      <w:proofErr w:type="spellStart"/>
      <w:r w:rsidRPr="004E1DAE">
        <w:t>Visoni</w:t>
      </w:r>
      <w:proofErr w:type="spellEnd"/>
      <w:r w:rsidRPr="004E1DAE">
        <w:t xml:space="preserve"> S, </w:t>
      </w:r>
      <w:proofErr w:type="spellStart"/>
      <w:r w:rsidRPr="004E1DAE">
        <w:t>Azzini</w:t>
      </w:r>
      <w:proofErr w:type="spellEnd"/>
      <w:r w:rsidRPr="004E1DAE">
        <w:t xml:space="preserve"> VOM, Santos RG, Huber S, et al. Metabolic syndrome and </w:t>
      </w:r>
      <w:proofErr w:type="spellStart"/>
      <w:r w:rsidRPr="004E1DAE">
        <w:t>subchondral</w:t>
      </w:r>
      <w:proofErr w:type="spellEnd"/>
      <w:r w:rsidRPr="004E1DAE">
        <w:t xml:space="preserve"> bone alterations: The rise of osteoarthritis - A review. J </w:t>
      </w:r>
      <w:proofErr w:type="spellStart"/>
      <w:r w:rsidRPr="004E1DAE">
        <w:t>Clin</w:t>
      </w:r>
      <w:proofErr w:type="spellEnd"/>
      <w:r w:rsidRPr="004E1DAE">
        <w:t xml:space="preserve"> </w:t>
      </w:r>
      <w:proofErr w:type="spellStart"/>
      <w:r w:rsidRPr="004E1DAE">
        <w:t>Orthop</w:t>
      </w:r>
      <w:proofErr w:type="spellEnd"/>
      <w:r w:rsidRPr="004E1DAE">
        <w:t xml:space="preserve"> Trauma. 2020. doi:10.1016/j.jcot.2020.06.021 </w:t>
      </w:r>
    </w:p>
    <w:p w:rsidR="004E1DAE" w:rsidRPr="004E1DAE" w:rsidRDefault="004E1DAE" w:rsidP="004E1DAE">
      <w:pPr>
        <w:pStyle w:val="Body"/>
        <w:numPr>
          <w:ilvl w:val="0"/>
          <w:numId w:val="18"/>
        </w:numPr>
      </w:pPr>
      <w:r w:rsidRPr="004E1DAE">
        <w:t xml:space="preserve">Franco MF, </w:t>
      </w:r>
      <w:proofErr w:type="spellStart"/>
      <w:r w:rsidRPr="004E1DAE">
        <w:t>Falsarella</w:t>
      </w:r>
      <w:proofErr w:type="spellEnd"/>
      <w:r w:rsidRPr="004E1DAE">
        <w:t xml:space="preserve"> GR, </w:t>
      </w:r>
      <w:proofErr w:type="spellStart"/>
      <w:r w:rsidRPr="004E1DAE">
        <w:t>Costallat</w:t>
      </w:r>
      <w:proofErr w:type="spellEnd"/>
      <w:r w:rsidRPr="004E1DAE">
        <w:t xml:space="preserve"> BL, Coimbra IB, Coimbra AMV. Association between knee osteoarthritis and metabolic syndrome in non-institutionalized elderly patients. Rev Bras </w:t>
      </w:r>
      <w:proofErr w:type="spellStart"/>
      <w:r w:rsidRPr="004E1DAE">
        <w:t>Ortop</w:t>
      </w:r>
      <w:proofErr w:type="spellEnd"/>
      <w:r w:rsidRPr="004E1DAE">
        <w:t xml:space="preserve">. 2020. doi:10.1055/s-0040-1701281 </w:t>
      </w:r>
    </w:p>
    <w:p w:rsidR="004E1DAE" w:rsidRPr="004E1DAE" w:rsidRDefault="004E1DAE" w:rsidP="004E1DAE">
      <w:pPr>
        <w:pStyle w:val="Body"/>
        <w:numPr>
          <w:ilvl w:val="0"/>
          <w:numId w:val="18"/>
        </w:numPr>
      </w:pPr>
      <w:proofErr w:type="spellStart"/>
      <w:r w:rsidRPr="004E1DAE">
        <w:t>Gao</w:t>
      </w:r>
      <w:proofErr w:type="spellEnd"/>
      <w:r w:rsidRPr="004E1DAE">
        <w:t xml:space="preserve"> YH, Zhao CW, Liu B, Dong N, Ding L, Li YR, et al. An update on the association between metabolic syndrome and osteoarthritis and on the potential role of </w:t>
      </w:r>
      <w:proofErr w:type="spellStart"/>
      <w:r w:rsidRPr="004E1DAE">
        <w:t>leptin</w:t>
      </w:r>
      <w:proofErr w:type="spellEnd"/>
      <w:r w:rsidRPr="004E1DAE">
        <w:t xml:space="preserve"> in osteoarthritis. Cytokine. 2020</w:t>
      </w:r>
      <w:proofErr w:type="gramStart"/>
      <w:r w:rsidRPr="004E1DAE">
        <w:t>;129:155043</w:t>
      </w:r>
      <w:proofErr w:type="gramEnd"/>
      <w:r w:rsidRPr="004E1DAE">
        <w:t xml:space="preserve">. doi:10.1016/j.cyto.2020.155043 </w:t>
      </w:r>
    </w:p>
    <w:p w:rsidR="004E1DAE" w:rsidRPr="004E1DAE" w:rsidRDefault="004E1DAE" w:rsidP="004E1DAE">
      <w:pPr>
        <w:pStyle w:val="Body"/>
        <w:numPr>
          <w:ilvl w:val="0"/>
          <w:numId w:val="18"/>
        </w:numPr>
      </w:pPr>
      <w:r w:rsidRPr="004E1DAE">
        <w:lastRenderedPageBreak/>
        <w:t xml:space="preserve">Huang S, Chen J, Zhang H, Wu W, </w:t>
      </w:r>
      <w:proofErr w:type="spellStart"/>
      <w:r w:rsidRPr="004E1DAE">
        <w:t>Xue</w:t>
      </w:r>
      <w:proofErr w:type="spellEnd"/>
      <w:r w:rsidRPr="004E1DAE">
        <w:t xml:space="preserve"> S, Zhu Z, et al. Inflammatory mechanisms underlying metabolic syndrome-associated osteoarthritis and potential treatments. Osteoarthritis Cartilage Open. 2025. doi:10.1016/j.ocarto.2025.100614 </w:t>
      </w:r>
    </w:p>
    <w:p w:rsidR="004E1DAE" w:rsidRPr="004E1DAE" w:rsidRDefault="004E1DAE" w:rsidP="004E1DAE">
      <w:pPr>
        <w:pStyle w:val="Body"/>
        <w:numPr>
          <w:ilvl w:val="0"/>
          <w:numId w:val="18"/>
        </w:numPr>
      </w:pPr>
      <w:r w:rsidRPr="004E1DAE">
        <w:t xml:space="preserve">Jansen N, </w:t>
      </w:r>
      <w:proofErr w:type="spellStart"/>
      <w:r w:rsidRPr="004E1DAE">
        <w:t>Molendijk</w:t>
      </w:r>
      <w:proofErr w:type="spellEnd"/>
      <w:r w:rsidRPr="004E1DAE">
        <w:t xml:space="preserve"> E, </w:t>
      </w:r>
      <w:proofErr w:type="spellStart"/>
      <w:r w:rsidRPr="004E1DAE">
        <w:t>Schiphof</w:t>
      </w:r>
      <w:proofErr w:type="spellEnd"/>
      <w:r w:rsidRPr="004E1DAE">
        <w:t xml:space="preserve"> D, van </w:t>
      </w:r>
      <w:proofErr w:type="spellStart"/>
      <w:r w:rsidRPr="004E1DAE">
        <w:t>Meurs</w:t>
      </w:r>
      <w:proofErr w:type="spellEnd"/>
      <w:r w:rsidRPr="004E1DAE">
        <w:t xml:space="preserve"> JBJ, </w:t>
      </w:r>
      <w:proofErr w:type="spellStart"/>
      <w:r w:rsidRPr="004E1DAE">
        <w:t>Oei</w:t>
      </w:r>
      <w:proofErr w:type="spellEnd"/>
      <w:r w:rsidRPr="004E1DAE">
        <w:t xml:space="preserve"> EHG, van </w:t>
      </w:r>
      <w:proofErr w:type="spellStart"/>
      <w:r w:rsidRPr="004E1DAE">
        <w:t>Middelkoop</w:t>
      </w:r>
      <w:proofErr w:type="spellEnd"/>
      <w:r w:rsidRPr="004E1DAE">
        <w:t xml:space="preserve"> M, et al. Metabolic syndrome and the progression of knee osteoarthritis on MRI. Osteoarthritis Cartilage. 2023. doi:10.1016/j.joca.2023.02.003 </w:t>
      </w:r>
    </w:p>
    <w:p w:rsidR="004E1DAE" w:rsidRPr="004E1DAE" w:rsidRDefault="004E1DAE" w:rsidP="004E1DAE">
      <w:pPr>
        <w:pStyle w:val="Body"/>
        <w:numPr>
          <w:ilvl w:val="0"/>
          <w:numId w:val="18"/>
        </w:numPr>
      </w:pPr>
      <w:proofErr w:type="spellStart"/>
      <w:r w:rsidRPr="004E1DAE">
        <w:t>Kour</w:t>
      </w:r>
      <w:proofErr w:type="spellEnd"/>
      <w:r w:rsidRPr="004E1DAE">
        <w:t xml:space="preserve"> PD, Gupta SD, Singh AD. Profile of metabolic syndrome among patients of knee osteoarthritis: A hospital based cross-sectional, observational and prospective 1 year study. Indian J </w:t>
      </w:r>
      <w:proofErr w:type="spellStart"/>
      <w:r w:rsidRPr="004E1DAE">
        <w:t>Appl</w:t>
      </w:r>
      <w:proofErr w:type="spellEnd"/>
      <w:r w:rsidRPr="004E1DAE">
        <w:t xml:space="preserve"> Res. 2023</w:t>
      </w:r>
      <w:proofErr w:type="gramStart"/>
      <w:r w:rsidRPr="004E1DAE">
        <w:t>;68</w:t>
      </w:r>
      <w:proofErr w:type="gramEnd"/>
      <w:r w:rsidRPr="004E1DAE">
        <w:t>-71. doi:10.36106/</w:t>
      </w:r>
      <w:proofErr w:type="spellStart"/>
      <w:r w:rsidRPr="004E1DAE">
        <w:t>ijar</w:t>
      </w:r>
      <w:proofErr w:type="spellEnd"/>
      <w:r w:rsidRPr="004E1DAE">
        <w:t xml:space="preserve">/2602340 </w:t>
      </w:r>
    </w:p>
    <w:p w:rsidR="004E1DAE" w:rsidRPr="004E1DAE" w:rsidRDefault="004E1DAE" w:rsidP="004E1DAE">
      <w:pPr>
        <w:pStyle w:val="Body"/>
        <w:numPr>
          <w:ilvl w:val="0"/>
          <w:numId w:val="18"/>
        </w:numPr>
      </w:pPr>
      <w:r w:rsidRPr="004E1DAE">
        <w:t xml:space="preserve">Liu S, Zhu W, Chen B, Chen Y, Ni G. Bidirectional association between metabolic syndrome and osteoarthritis: A meta-analysis of observational studies. </w:t>
      </w:r>
      <w:proofErr w:type="spellStart"/>
      <w:r w:rsidRPr="004E1DAE">
        <w:t>Diabetol</w:t>
      </w:r>
      <w:proofErr w:type="spellEnd"/>
      <w:r w:rsidRPr="004E1DAE">
        <w:t xml:space="preserve"> </w:t>
      </w:r>
      <w:proofErr w:type="spellStart"/>
      <w:r w:rsidRPr="004E1DAE">
        <w:t>Metab</w:t>
      </w:r>
      <w:proofErr w:type="spellEnd"/>
      <w:r w:rsidRPr="004E1DAE">
        <w:t xml:space="preserve"> </w:t>
      </w:r>
      <w:proofErr w:type="spellStart"/>
      <w:r w:rsidRPr="004E1DAE">
        <w:t>Syndr</w:t>
      </w:r>
      <w:proofErr w:type="spellEnd"/>
      <w:r w:rsidRPr="004E1DAE">
        <w:t xml:space="preserve">. 2020. doi:10.1186/s13098-020-00547-x </w:t>
      </w:r>
    </w:p>
    <w:p w:rsidR="004E1DAE" w:rsidRPr="004E1DAE" w:rsidRDefault="004E1DAE" w:rsidP="004E1DAE">
      <w:pPr>
        <w:pStyle w:val="Body"/>
        <w:numPr>
          <w:ilvl w:val="0"/>
          <w:numId w:val="18"/>
        </w:numPr>
      </w:pPr>
      <w:proofErr w:type="spellStart"/>
      <w:r w:rsidRPr="004E1DAE">
        <w:t>Lynskey</w:t>
      </w:r>
      <w:proofErr w:type="spellEnd"/>
      <w:r w:rsidRPr="004E1DAE">
        <w:t xml:space="preserve"> SJ, </w:t>
      </w:r>
      <w:proofErr w:type="spellStart"/>
      <w:r w:rsidRPr="004E1DAE">
        <w:t>Macaluso</w:t>
      </w:r>
      <w:proofErr w:type="spellEnd"/>
      <w:r w:rsidRPr="004E1DAE">
        <w:t xml:space="preserve"> MJ, Gill S, McGee S, Page R. Biomarkers of osteoarthritis—A narrative review on causal links with metabolic syndrome. Life (Basel). 2023. doi:10.3390/life13030730 </w:t>
      </w:r>
    </w:p>
    <w:p w:rsidR="004E1DAE" w:rsidRPr="004E1DAE" w:rsidRDefault="004E1DAE" w:rsidP="004E1DAE">
      <w:pPr>
        <w:pStyle w:val="Body"/>
        <w:numPr>
          <w:ilvl w:val="0"/>
          <w:numId w:val="18"/>
        </w:numPr>
      </w:pPr>
      <w:proofErr w:type="spellStart"/>
      <w:r w:rsidRPr="004E1DAE">
        <w:t>Mocanu</w:t>
      </w:r>
      <w:proofErr w:type="spellEnd"/>
      <w:r w:rsidRPr="004E1DAE">
        <w:t xml:space="preserve"> V, </w:t>
      </w:r>
      <w:proofErr w:type="spellStart"/>
      <w:r w:rsidRPr="004E1DAE">
        <w:t>Timofte</w:t>
      </w:r>
      <w:proofErr w:type="spellEnd"/>
      <w:r w:rsidRPr="004E1DAE">
        <w:t xml:space="preserve"> D, </w:t>
      </w:r>
      <w:proofErr w:type="spellStart"/>
      <w:r w:rsidRPr="004E1DAE">
        <w:t>Zară-Dănceanu</w:t>
      </w:r>
      <w:proofErr w:type="spellEnd"/>
      <w:r w:rsidRPr="004E1DAE">
        <w:t xml:space="preserve"> CM, </w:t>
      </w:r>
      <w:proofErr w:type="spellStart"/>
      <w:r w:rsidRPr="004E1DAE">
        <w:t>Labusca</w:t>
      </w:r>
      <w:proofErr w:type="spellEnd"/>
      <w:r w:rsidRPr="004E1DAE">
        <w:t xml:space="preserve"> L. Obesity, metabolic syndrome, and osteoarthritis require integrative understanding and management. Biomedicines. 2024</w:t>
      </w:r>
      <w:proofErr w:type="gramStart"/>
      <w:r w:rsidRPr="004E1DAE">
        <w:t>;12</w:t>
      </w:r>
      <w:proofErr w:type="gramEnd"/>
      <w:r w:rsidRPr="004E1DAE">
        <w:t xml:space="preserve">(6). doi:10.3390/biomedicines12061262 </w:t>
      </w:r>
    </w:p>
    <w:p w:rsidR="004E1DAE" w:rsidRPr="004E1DAE" w:rsidRDefault="004E1DAE" w:rsidP="004E1DAE">
      <w:pPr>
        <w:pStyle w:val="Body"/>
        <w:numPr>
          <w:ilvl w:val="0"/>
          <w:numId w:val="18"/>
        </w:numPr>
      </w:pPr>
      <w:proofErr w:type="spellStart"/>
      <w:r w:rsidRPr="004E1DAE">
        <w:t>Motwani</w:t>
      </w:r>
      <w:proofErr w:type="spellEnd"/>
      <w:r w:rsidRPr="004E1DAE">
        <w:t xml:space="preserve"> R, </w:t>
      </w:r>
      <w:proofErr w:type="spellStart"/>
      <w:r w:rsidRPr="004E1DAE">
        <w:t>Bodla</w:t>
      </w:r>
      <w:proofErr w:type="spellEnd"/>
      <w:r w:rsidRPr="004E1DAE">
        <w:t xml:space="preserve"> AK, </w:t>
      </w:r>
      <w:proofErr w:type="spellStart"/>
      <w:r w:rsidRPr="004E1DAE">
        <w:t>Peddamadyam</w:t>
      </w:r>
      <w:proofErr w:type="spellEnd"/>
      <w:r w:rsidRPr="004E1DAE">
        <w:t xml:space="preserve"> SK, </w:t>
      </w:r>
      <w:proofErr w:type="spellStart"/>
      <w:r w:rsidRPr="004E1DAE">
        <w:t>Chandrupatla</w:t>
      </w:r>
      <w:proofErr w:type="spellEnd"/>
      <w:r w:rsidRPr="004E1DAE">
        <w:t xml:space="preserve"> M, </w:t>
      </w:r>
      <w:proofErr w:type="spellStart"/>
      <w:r w:rsidRPr="004E1DAE">
        <w:t>Cherukuri</w:t>
      </w:r>
      <w:proofErr w:type="spellEnd"/>
      <w:r w:rsidRPr="004E1DAE">
        <w:t xml:space="preserve"> N, </w:t>
      </w:r>
      <w:proofErr w:type="spellStart"/>
      <w:r w:rsidRPr="004E1DAE">
        <w:t>Lakkireddy</w:t>
      </w:r>
      <w:proofErr w:type="spellEnd"/>
      <w:r w:rsidRPr="004E1DAE">
        <w:t xml:space="preserve"> M, et al. Osteoarthritis of the knee joint and its association with metabolic syndrome: A case control study. J Family Med Prim Care. 2025</w:t>
      </w:r>
      <w:proofErr w:type="gramStart"/>
      <w:r w:rsidRPr="004E1DAE">
        <w:t>;14</w:t>
      </w:r>
      <w:proofErr w:type="gramEnd"/>
      <w:r w:rsidRPr="004E1DAE">
        <w:t xml:space="preserve">(1):434-40. doi:10.4103/jfmpc.jfmpc_1515_24 </w:t>
      </w:r>
    </w:p>
    <w:p w:rsidR="004E1DAE" w:rsidRPr="004E1DAE" w:rsidRDefault="004E1DAE" w:rsidP="004E1DAE">
      <w:pPr>
        <w:pStyle w:val="Body"/>
        <w:numPr>
          <w:ilvl w:val="0"/>
          <w:numId w:val="18"/>
        </w:numPr>
      </w:pPr>
      <w:proofErr w:type="spellStart"/>
      <w:r w:rsidRPr="004E1DAE">
        <w:t>Nemet</w:t>
      </w:r>
      <w:proofErr w:type="spellEnd"/>
      <w:r w:rsidRPr="004E1DAE">
        <w:t xml:space="preserve"> M, </w:t>
      </w:r>
      <w:proofErr w:type="spellStart"/>
      <w:r w:rsidRPr="004E1DAE">
        <w:t>Blazin</w:t>
      </w:r>
      <w:proofErr w:type="spellEnd"/>
      <w:r w:rsidRPr="004E1DAE">
        <w:t xml:space="preserve"> T, </w:t>
      </w:r>
      <w:proofErr w:type="spellStart"/>
      <w:r w:rsidRPr="004E1DAE">
        <w:t>Milutinovic</w:t>
      </w:r>
      <w:proofErr w:type="spellEnd"/>
      <w:r w:rsidRPr="004E1DAE">
        <w:t xml:space="preserve"> S, </w:t>
      </w:r>
      <w:proofErr w:type="spellStart"/>
      <w:r w:rsidRPr="004E1DAE">
        <w:t>Ćebović</w:t>
      </w:r>
      <w:proofErr w:type="spellEnd"/>
      <w:r w:rsidRPr="004E1DAE">
        <w:t xml:space="preserve"> T, </w:t>
      </w:r>
      <w:proofErr w:type="spellStart"/>
      <w:r w:rsidRPr="004E1DAE">
        <w:t>Stanojević</w:t>
      </w:r>
      <w:proofErr w:type="spellEnd"/>
      <w:r w:rsidRPr="004E1DAE">
        <w:t xml:space="preserve"> D, </w:t>
      </w:r>
      <w:proofErr w:type="spellStart"/>
      <w:r w:rsidRPr="004E1DAE">
        <w:t>Svorcan</w:t>
      </w:r>
      <w:proofErr w:type="spellEnd"/>
      <w:r w:rsidRPr="004E1DAE">
        <w:t xml:space="preserve"> JZ. Association between metabolic syndrome, its components, and knee osteoarthritis in premenopausal and menopausal women: A pilot study. </w:t>
      </w:r>
      <w:proofErr w:type="spellStart"/>
      <w:r w:rsidRPr="004E1DAE">
        <w:t>Cureus</w:t>
      </w:r>
      <w:proofErr w:type="spellEnd"/>
      <w:r w:rsidRPr="004E1DAE">
        <w:t xml:space="preserve">. 2022. doi:10.7759/cureus.26726 </w:t>
      </w:r>
    </w:p>
    <w:p w:rsidR="004E1DAE" w:rsidRPr="004E1DAE" w:rsidRDefault="004E1DAE" w:rsidP="004E1DAE">
      <w:pPr>
        <w:pStyle w:val="Body"/>
        <w:numPr>
          <w:ilvl w:val="0"/>
          <w:numId w:val="18"/>
        </w:numPr>
      </w:pPr>
      <w:proofErr w:type="spellStart"/>
      <w:r w:rsidRPr="004E1DAE">
        <w:t>Nie</w:t>
      </w:r>
      <w:proofErr w:type="spellEnd"/>
      <w:r w:rsidRPr="004E1DAE">
        <w:t xml:space="preserve"> D, Yan G, Zhou W, Wang Z, Yu G, Liu D, et al. Metabolic syndrome and the incidence of knee osteoarthritis: A meta-analysis of prospective cohort studies. </w:t>
      </w:r>
      <w:proofErr w:type="spellStart"/>
      <w:r w:rsidRPr="004E1DAE">
        <w:t>PLoS</w:t>
      </w:r>
      <w:proofErr w:type="spellEnd"/>
      <w:r w:rsidRPr="004E1DAE">
        <w:t xml:space="preserve"> One. 2020. doi:10.1371/journal.pone.0243576 </w:t>
      </w:r>
    </w:p>
    <w:p w:rsidR="004E1DAE" w:rsidRPr="004E1DAE" w:rsidRDefault="004E1DAE" w:rsidP="004E1DAE">
      <w:pPr>
        <w:pStyle w:val="Body"/>
        <w:numPr>
          <w:ilvl w:val="0"/>
          <w:numId w:val="18"/>
        </w:numPr>
      </w:pPr>
      <w:proofErr w:type="spellStart"/>
      <w:r w:rsidRPr="004E1DAE">
        <w:t>Sampath</w:t>
      </w:r>
      <w:proofErr w:type="spellEnd"/>
      <w:r w:rsidRPr="004E1DAE">
        <w:t xml:space="preserve"> SJP, </w:t>
      </w:r>
      <w:proofErr w:type="spellStart"/>
      <w:r w:rsidRPr="004E1DAE">
        <w:t>Venkatesan</w:t>
      </w:r>
      <w:proofErr w:type="spellEnd"/>
      <w:r w:rsidRPr="004E1DAE">
        <w:t xml:space="preserve"> V, Ghosh S, </w:t>
      </w:r>
      <w:proofErr w:type="spellStart"/>
      <w:r w:rsidRPr="004E1DAE">
        <w:t>Kotikalapudi</w:t>
      </w:r>
      <w:proofErr w:type="spellEnd"/>
      <w:r w:rsidRPr="004E1DAE">
        <w:t xml:space="preserve"> N. Obesity, metabolic syndrome, and osteoarthritis—An updated review. </w:t>
      </w:r>
      <w:proofErr w:type="spellStart"/>
      <w:r w:rsidRPr="004E1DAE">
        <w:t>Curr</w:t>
      </w:r>
      <w:proofErr w:type="spellEnd"/>
      <w:r w:rsidRPr="004E1DAE">
        <w:t xml:space="preserve"> </w:t>
      </w:r>
      <w:proofErr w:type="spellStart"/>
      <w:r w:rsidRPr="004E1DAE">
        <w:t>Obes</w:t>
      </w:r>
      <w:proofErr w:type="spellEnd"/>
      <w:r w:rsidRPr="004E1DAE">
        <w:t xml:space="preserve"> Rep. 2023. doi:10.1007/s13679-023-00520-5 </w:t>
      </w:r>
    </w:p>
    <w:p w:rsidR="004E1DAE" w:rsidRPr="004E1DAE" w:rsidRDefault="004E1DAE" w:rsidP="004E1DAE">
      <w:pPr>
        <w:pStyle w:val="Body"/>
        <w:numPr>
          <w:ilvl w:val="0"/>
          <w:numId w:val="18"/>
        </w:numPr>
      </w:pPr>
      <w:proofErr w:type="spellStart"/>
      <w:r w:rsidRPr="004E1DAE">
        <w:t>Shumnalieva</w:t>
      </w:r>
      <w:proofErr w:type="spellEnd"/>
      <w:r w:rsidRPr="004E1DAE">
        <w:t xml:space="preserve"> R, </w:t>
      </w:r>
      <w:proofErr w:type="spellStart"/>
      <w:r w:rsidRPr="004E1DAE">
        <w:t>Kotov</w:t>
      </w:r>
      <w:proofErr w:type="spellEnd"/>
      <w:r w:rsidRPr="004E1DAE">
        <w:t xml:space="preserve"> G, </w:t>
      </w:r>
      <w:proofErr w:type="spellStart"/>
      <w:r w:rsidRPr="004E1DAE">
        <w:t>Monov</w:t>
      </w:r>
      <w:proofErr w:type="spellEnd"/>
      <w:r w:rsidRPr="004E1DAE">
        <w:t xml:space="preserve"> S. Obesity-related knee osteoarthritis—Current concepts. Life (Basel). 2023. doi:10.3390/life13081650 </w:t>
      </w:r>
    </w:p>
    <w:p w:rsidR="004E1DAE" w:rsidRPr="004E1DAE" w:rsidRDefault="004E1DAE" w:rsidP="004E1DAE">
      <w:pPr>
        <w:pStyle w:val="Body"/>
        <w:numPr>
          <w:ilvl w:val="0"/>
          <w:numId w:val="18"/>
        </w:numPr>
      </w:pPr>
      <w:r w:rsidRPr="004E1DAE">
        <w:t xml:space="preserve">Tan Q, Jiang A, Li W, Song C, </w:t>
      </w:r>
      <w:proofErr w:type="spellStart"/>
      <w:r w:rsidRPr="004E1DAE">
        <w:t>Leng</w:t>
      </w:r>
      <w:proofErr w:type="spellEnd"/>
      <w:r w:rsidRPr="004E1DAE">
        <w:t xml:space="preserve"> H. Metabolic syndrome and osteoarthritis: Possible mechanisms and management strategies. 2020. doi:10.1016/j.medntd.2020.100052 </w:t>
      </w:r>
    </w:p>
    <w:p w:rsidR="004E1DAE" w:rsidRPr="004E1DAE" w:rsidRDefault="004E1DAE" w:rsidP="004E1DAE">
      <w:pPr>
        <w:pStyle w:val="Body"/>
        <w:numPr>
          <w:ilvl w:val="0"/>
          <w:numId w:val="18"/>
        </w:numPr>
      </w:pPr>
      <w:proofErr w:type="spellStart"/>
      <w:r w:rsidRPr="004E1DAE">
        <w:t>Xie</w:t>
      </w:r>
      <w:proofErr w:type="spellEnd"/>
      <w:r w:rsidRPr="004E1DAE">
        <w:t xml:space="preserve"> Y, Zhou W, </w:t>
      </w:r>
      <w:proofErr w:type="spellStart"/>
      <w:r w:rsidRPr="004E1DAE">
        <w:t>Zhong</w:t>
      </w:r>
      <w:proofErr w:type="spellEnd"/>
      <w:r w:rsidRPr="004E1DAE">
        <w:t xml:space="preserve"> Z, Zhao ZP, Yu H, Huang YX, et al. Metabolic syndrome, hypertension, and hyperglycemia were positively associated with knee osteoarthritis, while dyslipidemia showed no association with knee osteoarthritis. </w:t>
      </w:r>
      <w:proofErr w:type="spellStart"/>
      <w:r w:rsidRPr="004E1DAE">
        <w:t>Clin</w:t>
      </w:r>
      <w:proofErr w:type="spellEnd"/>
      <w:r w:rsidRPr="004E1DAE">
        <w:t xml:space="preserve"> </w:t>
      </w:r>
      <w:proofErr w:type="spellStart"/>
      <w:r w:rsidRPr="004E1DAE">
        <w:t>Rheumatol</w:t>
      </w:r>
      <w:proofErr w:type="spellEnd"/>
      <w:r w:rsidRPr="004E1DAE">
        <w:t xml:space="preserve">. 2020. doi:10.1007/s10067-020-05216-y </w:t>
      </w:r>
    </w:p>
    <w:p w:rsidR="004E1DAE" w:rsidRPr="004E1DAE" w:rsidRDefault="004E1DAE" w:rsidP="004E1DAE">
      <w:pPr>
        <w:pStyle w:val="Body"/>
        <w:numPr>
          <w:ilvl w:val="0"/>
          <w:numId w:val="18"/>
        </w:numPr>
      </w:pPr>
      <w:r w:rsidRPr="004E1DAE">
        <w:t xml:space="preserve">Zhang S, Wang D, Zhao J, Zhao H, </w:t>
      </w:r>
      <w:proofErr w:type="spellStart"/>
      <w:r w:rsidRPr="004E1DAE">
        <w:t>Xie</w:t>
      </w:r>
      <w:proofErr w:type="spellEnd"/>
      <w:r w:rsidRPr="004E1DAE">
        <w:t xml:space="preserve"> P, </w:t>
      </w:r>
      <w:proofErr w:type="spellStart"/>
      <w:r w:rsidRPr="004E1DAE">
        <w:t>Zheng</w:t>
      </w:r>
      <w:proofErr w:type="spellEnd"/>
      <w:r w:rsidRPr="004E1DAE">
        <w:t xml:space="preserve"> L, </w:t>
      </w:r>
      <w:proofErr w:type="gramStart"/>
      <w:r w:rsidRPr="004E1DAE">
        <w:t>et</w:t>
      </w:r>
      <w:proofErr w:type="gramEnd"/>
      <w:r w:rsidRPr="004E1DAE">
        <w:t xml:space="preserve"> al. Metabolic syndrome increases osteoarthritis risk: Findings from the UK </w:t>
      </w:r>
      <w:proofErr w:type="spellStart"/>
      <w:r w:rsidRPr="004E1DAE">
        <w:t>Biobank</w:t>
      </w:r>
      <w:proofErr w:type="spellEnd"/>
      <w:r w:rsidRPr="004E1DAE">
        <w:t xml:space="preserve"> prospective cohort study. BMC Public Health. 2024. doi:10.1186/s12889-024-17682-z </w:t>
      </w:r>
    </w:p>
    <w:p w:rsidR="004E1DAE" w:rsidRPr="004E1DAE" w:rsidRDefault="004E1DAE" w:rsidP="004E1DAE">
      <w:pPr>
        <w:pStyle w:val="Body"/>
        <w:numPr>
          <w:ilvl w:val="0"/>
          <w:numId w:val="18"/>
        </w:numPr>
      </w:pPr>
      <w:proofErr w:type="spellStart"/>
      <w:r w:rsidRPr="004E1DAE">
        <w:t>Zhdan</w:t>
      </w:r>
      <w:proofErr w:type="spellEnd"/>
      <w:r w:rsidRPr="004E1DAE">
        <w:t xml:space="preserve"> V, </w:t>
      </w:r>
      <w:proofErr w:type="spellStart"/>
      <w:r w:rsidRPr="004E1DAE">
        <w:t>Lebid</w:t>
      </w:r>
      <w:proofErr w:type="spellEnd"/>
      <w:r w:rsidRPr="004E1DAE">
        <w:t xml:space="preserve"> V, </w:t>
      </w:r>
      <w:proofErr w:type="spellStart"/>
      <w:r w:rsidRPr="004E1DAE">
        <w:t>Kir'yan</w:t>
      </w:r>
      <w:proofErr w:type="spellEnd"/>
      <w:r w:rsidRPr="004E1DAE">
        <w:t xml:space="preserve"> OA. Osteoarthritis and metabolic syndrome: Key aspects of patient management. </w:t>
      </w:r>
      <w:proofErr w:type="spellStart"/>
      <w:r w:rsidRPr="004E1DAE">
        <w:t>Aktualni</w:t>
      </w:r>
      <w:proofErr w:type="spellEnd"/>
      <w:r w:rsidRPr="004E1DAE">
        <w:t xml:space="preserve"> </w:t>
      </w:r>
      <w:proofErr w:type="spellStart"/>
      <w:r w:rsidRPr="004E1DAE">
        <w:t>Problemi</w:t>
      </w:r>
      <w:proofErr w:type="spellEnd"/>
      <w:r w:rsidRPr="004E1DAE">
        <w:t xml:space="preserve"> </w:t>
      </w:r>
      <w:proofErr w:type="spellStart"/>
      <w:r w:rsidRPr="004E1DAE">
        <w:t>Suchasnoi</w:t>
      </w:r>
      <w:proofErr w:type="spellEnd"/>
      <w:r w:rsidRPr="004E1DAE">
        <w:t xml:space="preserve"> </w:t>
      </w:r>
      <w:proofErr w:type="spellStart"/>
      <w:r w:rsidRPr="004E1DAE">
        <w:t>Meditsini</w:t>
      </w:r>
      <w:proofErr w:type="spellEnd"/>
      <w:r w:rsidRPr="004E1DAE">
        <w:t xml:space="preserve">. 2024. doi:10.31718/2077-1096.24.3.161 </w:t>
      </w:r>
    </w:p>
    <w:p w:rsidR="004E1DAE" w:rsidRPr="004E1DAE" w:rsidRDefault="004E1DAE" w:rsidP="004E1DAE">
      <w:pPr>
        <w:pStyle w:val="Body"/>
        <w:numPr>
          <w:ilvl w:val="0"/>
          <w:numId w:val="18"/>
        </w:numPr>
      </w:pPr>
      <w:proofErr w:type="spellStart"/>
      <w:r w:rsidRPr="004E1DAE">
        <w:t>Ostrovityanova</w:t>
      </w:r>
      <w:proofErr w:type="spellEnd"/>
      <w:r w:rsidRPr="004E1DAE">
        <w:t xml:space="preserve"> U, </w:t>
      </w:r>
      <w:proofErr w:type="spellStart"/>
      <w:r w:rsidRPr="004E1DAE">
        <w:t>Ogaryova</w:t>
      </w:r>
      <w:proofErr w:type="spellEnd"/>
      <w:r w:rsidRPr="004E1DAE">
        <w:t xml:space="preserve"> </w:t>
      </w:r>
      <w:proofErr w:type="spellStart"/>
      <w:r w:rsidRPr="004E1DAE">
        <w:t>Rossiya</w:t>
      </w:r>
      <w:proofErr w:type="spellEnd"/>
      <w:r w:rsidRPr="004E1DAE">
        <w:t xml:space="preserve">, </w:t>
      </w:r>
      <w:proofErr w:type="spellStart"/>
      <w:r w:rsidRPr="004E1DAE">
        <w:t>Ulyanova</w:t>
      </w:r>
      <w:proofErr w:type="spellEnd"/>
      <w:r w:rsidRPr="004E1DAE">
        <w:t xml:space="preserve"> UA. The role of metabolic syndrome in the pathogenesis of knee osteoarthritis: A new view on the problem. Bull Sib Med. 2021. doi:10.20538/1682-0363-2021-1-190-199 </w:t>
      </w:r>
    </w:p>
    <w:p w:rsidR="004E1DAE" w:rsidRPr="004E1DAE" w:rsidRDefault="004E1DAE" w:rsidP="004E1DAE">
      <w:pPr>
        <w:pStyle w:val="Body"/>
        <w:rPr>
          <w:rFonts w:cstheme="majorBidi"/>
          <w:color w:val="000000" w:themeColor="text1"/>
        </w:rPr>
      </w:pPr>
    </w:p>
    <w:p w:rsidR="00441E67" w:rsidRPr="004175AC" w:rsidRDefault="00441E67" w:rsidP="004E1DAE">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2D4" w:rsidRDefault="001B12D4" w:rsidP="005146DA">
      <w:pPr>
        <w:spacing w:after="0" w:line="240" w:lineRule="auto"/>
      </w:pPr>
      <w:r>
        <w:separator/>
      </w:r>
    </w:p>
  </w:endnote>
  <w:endnote w:type="continuationSeparator" w:id="0">
    <w:p w:rsidR="001B12D4" w:rsidRDefault="001B12D4"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2D4" w:rsidRDefault="001B12D4" w:rsidP="005146DA">
      <w:pPr>
        <w:spacing w:after="0" w:line="240" w:lineRule="auto"/>
      </w:pPr>
      <w:r>
        <w:separator/>
      </w:r>
    </w:p>
  </w:footnote>
  <w:footnote w:type="continuationSeparator" w:id="0">
    <w:p w:rsidR="001B12D4" w:rsidRDefault="001B12D4"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4E1DAE">
          <w:rPr>
            <w:rStyle w:val="BodyChar"/>
            <w:rFonts w:cstheme="majorBidi"/>
            <w:color w:val="074F6A"/>
            <w:sz w:val="18"/>
            <w:vertAlign w:val="subscript"/>
          </w:rPr>
          <w:t>1999</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2C57F7" w:rsidRPr="002C57F7">
          <w:rPr>
            <w:rStyle w:val="BodyChar"/>
            <w:rFonts w:cstheme="majorBidi"/>
            <w:noProof/>
            <w:color w:val="074F6A"/>
            <w:vertAlign w:val="subscript"/>
          </w:rPr>
          <w:t>5</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8B5956" w:rsidRPr="008B5956">
      <w:rPr>
        <w:rFonts w:ascii="Plantagenet Cherokee" w:hAnsi="Plantagenet Cherokee"/>
        <w:color w:val="0B769F" w:themeColor="accent4" w:themeShade="BF"/>
        <w:sz w:val="14"/>
        <w:szCs w:val="14"/>
      </w:rPr>
      <w:t>10.61919/jhrr.v6i4.1999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6">
    <w:nsid w:val="3E7E368C"/>
    <w:multiLevelType w:val="hybridMultilevel"/>
    <w:tmpl w:val="D04A4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90239F"/>
    <w:multiLevelType w:val="multilevel"/>
    <w:tmpl w:val="7F545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7"/>
  </w:num>
  <w:num w:numId="4">
    <w:abstractNumId w:val="13"/>
  </w:num>
  <w:num w:numId="5">
    <w:abstractNumId w:val="14"/>
  </w:num>
  <w:num w:numId="6">
    <w:abstractNumId w:val="3"/>
  </w:num>
  <w:num w:numId="7">
    <w:abstractNumId w:val="16"/>
  </w:num>
  <w:num w:numId="8">
    <w:abstractNumId w:val="9"/>
  </w:num>
  <w:num w:numId="9">
    <w:abstractNumId w:val="1"/>
  </w:num>
  <w:num w:numId="10">
    <w:abstractNumId w:val="11"/>
  </w:num>
  <w:num w:numId="11">
    <w:abstractNumId w:val="2"/>
  </w:num>
  <w:num w:numId="12">
    <w:abstractNumId w:val="0"/>
  </w:num>
  <w:num w:numId="13">
    <w:abstractNumId w:val="4"/>
  </w:num>
  <w:num w:numId="14">
    <w:abstractNumId w:val="8"/>
  </w:num>
  <w:num w:numId="15">
    <w:abstractNumId w:val="17"/>
  </w:num>
  <w:num w:numId="16">
    <w:abstractNumId w:val="10"/>
  </w:num>
  <w:num w:numId="17">
    <w:abstractNumId w:val="12"/>
  </w:num>
  <w:num w:numId="1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AE"/>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2D4"/>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57F7"/>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1DAE"/>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5956"/>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B798B792-FFC8-464F-BA87-2C9916B9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1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394DA-F8B5-4AEE-840E-F2CD3B0D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22</TotalTime>
  <Pages>8</Pages>
  <Words>5539</Words>
  <Characters>31574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2</cp:revision>
  <cp:lastPrinted>2026-04-24T11:38:00Z</cp:lastPrinted>
  <dcterms:created xsi:type="dcterms:W3CDTF">2026-06-04T05:37:00Z</dcterms:created>
  <dcterms:modified xsi:type="dcterms:W3CDTF">2026-06-04T07:19:00Z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