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5C4F64" w:rsidRPr="00BB7230" w:rsidRDefault="006E2985" w:rsidP="00335DDB">
      <w:pPr>
        <w:pStyle w:val="Body"/>
        <w:tabs>
          <w:tab w:val="left" w:pos="3888"/>
        </w:tabs>
        <w:spacing w:line="240" w:lineRule="auto"/>
        <w:rPr>
          <w:rFonts w:cstheme="majorBidi"/>
          <w:b/>
          <w:bCs/>
          <w:color w:val="000000" w:themeColor="text1"/>
          <w:sz w:val="36"/>
          <w:szCs w:val="36"/>
        </w:rPr>
      </w:pPr>
      <w:r w:rsidRPr="006E2985">
        <w:rPr>
          <w:rFonts w:cstheme="majorBidi"/>
          <w:b/>
          <w:bCs/>
          <w:color w:val="000000" w:themeColor="text1"/>
          <w:sz w:val="36"/>
          <w:szCs w:val="36"/>
          <w:lang w:val="en-GB"/>
        </w:rPr>
        <w:t xml:space="preserve">Association </w:t>
      </w:r>
      <w:proofErr w:type="gramStart"/>
      <w:r w:rsidRPr="006E2985">
        <w:rPr>
          <w:rFonts w:cstheme="majorBidi"/>
          <w:b/>
          <w:bCs/>
          <w:color w:val="000000" w:themeColor="text1"/>
          <w:sz w:val="36"/>
          <w:szCs w:val="36"/>
          <w:lang w:val="en-GB"/>
        </w:rPr>
        <w:t>Between</w:t>
      </w:r>
      <w:proofErr w:type="gramEnd"/>
      <w:r w:rsidRPr="006E2985">
        <w:rPr>
          <w:rFonts w:cstheme="majorBidi"/>
          <w:b/>
          <w:bCs/>
          <w:color w:val="000000" w:themeColor="text1"/>
          <w:sz w:val="36"/>
          <w:szCs w:val="36"/>
          <w:lang w:val="en-GB"/>
        </w:rPr>
        <w:t xml:space="preserve"> Obesity and Clinical Outcomes of Low Back Pain Among Adults Attending </w:t>
      </w:r>
      <w:proofErr w:type="spellStart"/>
      <w:r w:rsidRPr="006E2985">
        <w:rPr>
          <w:rFonts w:cstheme="majorBidi"/>
          <w:b/>
          <w:bCs/>
          <w:color w:val="000000" w:themeColor="text1"/>
          <w:sz w:val="36"/>
          <w:szCs w:val="36"/>
          <w:lang w:val="en-GB"/>
        </w:rPr>
        <w:t>Riphah</w:t>
      </w:r>
      <w:proofErr w:type="spellEnd"/>
      <w:r w:rsidRPr="006E2985">
        <w:rPr>
          <w:rFonts w:cstheme="majorBidi"/>
          <w:b/>
          <w:bCs/>
          <w:color w:val="000000" w:themeColor="text1"/>
          <w:sz w:val="36"/>
          <w:szCs w:val="36"/>
          <w:lang w:val="en-GB"/>
        </w:rPr>
        <w:t xml:space="preserve"> Rehabilitation </w:t>
      </w:r>
      <w:proofErr w:type="spellStart"/>
      <w:r w:rsidRPr="006E2985">
        <w:rPr>
          <w:rFonts w:cstheme="majorBidi"/>
          <w:b/>
          <w:bCs/>
          <w:color w:val="000000" w:themeColor="text1"/>
          <w:sz w:val="36"/>
          <w:szCs w:val="36"/>
          <w:lang w:val="en-GB"/>
        </w:rPr>
        <w:t>Center</w:t>
      </w:r>
      <w:proofErr w:type="spellEnd"/>
      <w:r w:rsidRPr="006E2985">
        <w:rPr>
          <w:rFonts w:cstheme="majorBidi"/>
          <w:b/>
          <w:bCs/>
          <w:color w:val="000000" w:themeColor="text1"/>
          <w:sz w:val="36"/>
          <w:szCs w:val="36"/>
          <w:lang w:val="en-GB"/>
        </w:rPr>
        <w:t>: A Case-Control Study</w:t>
      </w:r>
    </w:p>
    <w:p w:rsidR="00E202E9" w:rsidRPr="006E2985" w:rsidRDefault="007C1877" w:rsidP="006E2985">
      <w:pPr>
        <w:pStyle w:val="Body"/>
        <w:spacing w:before="75"/>
        <w:rPr>
          <w:rFonts w:cstheme="majorBidi"/>
          <w:b/>
          <w:bCs/>
          <w:color w:val="074F6A" w:themeColor="accent4" w:themeShade="80"/>
        </w:rPr>
      </w:pPr>
      <w:r w:rsidRPr="007C1877">
        <w:rPr>
          <w:rFonts w:cstheme="majorBidi"/>
          <w:b/>
          <w:bCs/>
          <w:color w:val="074F6A" w:themeColor="accent4" w:themeShade="80"/>
          <w:sz w:val="24"/>
          <w:szCs w:val="24"/>
        </w:rPr>
        <w:t xml:space="preserve">Dr. </w:t>
      </w:r>
      <w:proofErr w:type="spellStart"/>
      <w:r w:rsidR="006E2985" w:rsidRPr="006E2985">
        <w:rPr>
          <w:rFonts w:cstheme="majorBidi"/>
          <w:b/>
          <w:bCs/>
          <w:color w:val="074F6A" w:themeColor="accent4" w:themeShade="80"/>
        </w:rPr>
        <w:t>Sadaf</w:t>
      </w:r>
      <w:proofErr w:type="spellEnd"/>
      <w:r w:rsidR="006E2985" w:rsidRPr="006E2985">
        <w:rPr>
          <w:rFonts w:cstheme="majorBidi"/>
          <w:b/>
          <w:bCs/>
          <w:color w:val="074F6A" w:themeColor="accent4" w:themeShade="80"/>
        </w:rPr>
        <w:t xml:space="preserve"> Tubassum</w:t>
      </w:r>
      <w:r w:rsidRPr="007C1877">
        <w:rPr>
          <w:rFonts w:cstheme="majorBidi"/>
          <w:b/>
          <w:bCs/>
          <w:color w:val="074F6A" w:themeColor="accent4" w:themeShade="80"/>
          <w:sz w:val="24"/>
          <w:szCs w:val="24"/>
        </w:rPr>
        <w:t>¹</w:t>
      </w:r>
    </w:p>
    <w:p w:rsidR="00607EA1" w:rsidRPr="00BB7230" w:rsidRDefault="007C1877" w:rsidP="004175AC">
      <w:pPr>
        <w:pStyle w:val="Body"/>
        <w:spacing w:before="75" w:after="75" w:line="240" w:lineRule="auto"/>
        <w:rPr>
          <w:rFonts w:cstheme="majorBidi"/>
          <w:color w:val="000000" w:themeColor="text1"/>
          <w:sz w:val="18"/>
          <w:szCs w:val="16"/>
        </w:rPr>
      </w:pPr>
      <w:r w:rsidRPr="007C1877">
        <w:rPr>
          <w:rFonts w:cstheme="majorBidi"/>
          <w:color w:val="000000" w:themeColor="text1"/>
          <w:sz w:val="18"/>
          <w:szCs w:val="16"/>
        </w:rPr>
        <w:t>¹</w:t>
      </w:r>
      <w:r w:rsidR="006E2985" w:rsidRPr="006E2985">
        <w:rPr>
          <w:rFonts w:cstheme="majorBidi"/>
          <w:color w:val="000000" w:themeColor="text1"/>
          <w:sz w:val="18"/>
          <w:szCs w:val="16"/>
          <w:lang w:val="en-GB"/>
        </w:rPr>
        <w:t>Senior lecturer at Shalimar Inst</w:t>
      </w:r>
      <w:r w:rsidR="006E2985">
        <w:rPr>
          <w:rFonts w:cstheme="majorBidi"/>
          <w:color w:val="000000" w:themeColor="text1"/>
          <w:sz w:val="18"/>
          <w:szCs w:val="16"/>
          <w:lang w:val="en-GB"/>
        </w:rPr>
        <w:t>itute of Allied Health S</w:t>
      </w:r>
      <w:r w:rsidR="006E2985" w:rsidRPr="006E2985">
        <w:rPr>
          <w:rFonts w:cstheme="majorBidi"/>
          <w:color w:val="000000" w:themeColor="text1"/>
          <w:sz w:val="18"/>
          <w:szCs w:val="16"/>
          <w:lang w:val="en-GB"/>
        </w:rPr>
        <w:t>cience Lahore</w:t>
      </w:r>
      <w:r w:rsidRPr="007C1877">
        <w:rPr>
          <w:rFonts w:cstheme="majorBidi"/>
          <w:color w:val="000000" w:themeColor="text1"/>
          <w:sz w:val="18"/>
          <w:szCs w:val="16"/>
        </w:rPr>
        <w:t>, 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7C1877" w:rsidRPr="007C1877">
        <w:rPr>
          <w:rFonts w:cstheme="majorBidi"/>
          <w:b/>
          <w:bCs/>
          <w:color w:val="074F6A" w:themeColor="accent4" w:themeShade="80"/>
          <w:sz w:val="18"/>
          <w:szCs w:val="16"/>
          <w:lang w:val="pt-BR"/>
        </w:rPr>
        <w:t xml:space="preserve">Dr. </w:t>
      </w:r>
      <w:proofErr w:type="spellStart"/>
      <w:r w:rsidR="006E2985" w:rsidRPr="006E2985">
        <w:rPr>
          <w:rFonts w:cstheme="majorBidi"/>
          <w:b/>
          <w:bCs/>
          <w:color w:val="074F6A" w:themeColor="accent4" w:themeShade="80"/>
          <w:sz w:val="18"/>
          <w:szCs w:val="16"/>
          <w:lang w:val="en-GB"/>
        </w:rPr>
        <w:t>Sadaf</w:t>
      </w:r>
      <w:proofErr w:type="spellEnd"/>
      <w:r w:rsidR="006E2985" w:rsidRPr="006E2985">
        <w:rPr>
          <w:rFonts w:cstheme="majorBidi"/>
          <w:b/>
          <w:bCs/>
          <w:color w:val="074F6A" w:themeColor="accent4" w:themeShade="80"/>
          <w:sz w:val="18"/>
          <w:szCs w:val="16"/>
          <w:lang w:val="en-GB"/>
        </w:rPr>
        <w:t xml:space="preserve"> </w:t>
      </w:r>
      <w:proofErr w:type="spellStart"/>
      <w:r w:rsidR="006E2985" w:rsidRPr="006E2985">
        <w:rPr>
          <w:rFonts w:cstheme="majorBidi"/>
          <w:b/>
          <w:bCs/>
          <w:color w:val="074F6A" w:themeColor="accent4" w:themeShade="80"/>
          <w:sz w:val="18"/>
          <w:szCs w:val="16"/>
          <w:lang w:val="en-GB"/>
        </w:rPr>
        <w:t>Tubassum</w:t>
      </w:r>
      <w:proofErr w:type="spellEnd"/>
      <w:r w:rsidR="007C1877" w:rsidRPr="007C1877">
        <w:rPr>
          <w:rFonts w:cstheme="majorBidi"/>
          <w:b/>
          <w:bCs/>
          <w:color w:val="074F6A" w:themeColor="accent4" w:themeShade="80"/>
          <w:sz w:val="18"/>
          <w:szCs w:val="16"/>
          <w:lang w:val="pt-BR"/>
        </w:rPr>
        <w:t xml:space="preserve">, </w:t>
      </w:r>
      <w:proofErr w:type="spellStart"/>
      <w:r w:rsidR="006E2985" w:rsidRPr="006E2985">
        <w:rPr>
          <w:rFonts w:cstheme="majorBidi"/>
          <w:b/>
          <w:bCs/>
          <w:color w:val="074F6A" w:themeColor="accent4" w:themeShade="80"/>
          <w:sz w:val="18"/>
          <w:szCs w:val="16"/>
          <w:lang w:val="en-GB"/>
        </w:rPr>
        <w:t>tubassumsadaf@gmail</w:t>
      </w:r>
      <w:proofErr w:type="spellEnd"/>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proofErr w:type="spellStart"/>
      <w:r w:rsidR="006E2985">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Februray</w:t>
      </w:r>
      <w:proofErr w:type="spellEnd"/>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6E2985">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6E2985">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30 April</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6E2985">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ST; Design: ST; Data Collection: ST; Analysis: ST; Drafting: S</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T</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6E2985" w:rsidRPr="006E2985">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Senior lecturer at Shalimar Institute of Allied Health Science Lahore</w:t>
      </w:r>
      <w:r w:rsidR="006E2985">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6E2985">
      <w:pPr>
        <w:pStyle w:val="Heading1"/>
      </w:pPr>
      <w:r w:rsidRPr="00BB7230">
        <w:t>Abstract</w:t>
      </w:r>
    </w:p>
    <w:p w:rsidR="006E2985" w:rsidRPr="006E2985" w:rsidRDefault="006E2985" w:rsidP="006E2985">
      <w:pPr>
        <w:pStyle w:val="Body"/>
      </w:pPr>
      <w:r w:rsidRPr="006E2985">
        <w:t xml:space="preserve">Background: Low back pain is a major musculoskeletal disorder associated with substantial disability, reduced functional capacity, and impaired quality of life worldwide. Obesity and abdominal adiposity have been increasingly recognized as important contributors to chronic low back pain through biomechanical, inflammatory, and functional mechanisms. However, limited evidence is available regarding the association between obesity and clinical outcomes of low back pain among rehabilitation populations in Pakistan. Objective: To determine the association between obesity and clinical outcomes of low back pain among adults attending </w:t>
      </w:r>
      <w:proofErr w:type="spellStart"/>
      <w:r w:rsidRPr="006E2985">
        <w:t>Riphah</w:t>
      </w:r>
      <w:proofErr w:type="spellEnd"/>
      <w:r w:rsidRPr="006E2985">
        <w:t xml:space="preserve"> Rehabilitation </w:t>
      </w:r>
      <w:proofErr w:type="spellStart"/>
      <w:r w:rsidRPr="006E2985">
        <w:t>Center</w:t>
      </w:r>
      <w:proofErr w:type="spellEnd"/>
      <w:r w:rsidRPr="006E2985">
        <w:t xml:space="preserve">. Methods: A case-control study was conducted among 178 participants, including 89 low back pain cases and 89 controls. Demographic, anthropometric, lifestyle, and clinical variables were assessed using standardized procedures. Body mass index, waist circumference, abdominal obesity, lumbar angle, pain severity, and disability scores were recorded. Logistic regression analysis was performed to identify predictors of poor clinical outcomes, while linear regression assessed the relationship between body mass index and pain score. Statistical significance was considered at p &lt; 0.05. Results: The mean body mass index was significantly higher among low back pain cases compared with controls (31.1 ± 5.3 kg/m² </w:t>
      </w:r>
      <w:proofErr w:type="spellStart"/>
      <w:r w:rsidRPr="006E2985">
        <w:t>vs</w:t>
      </w:r>
      <w:proofErr w:type="spellEnd"/>
      <w:r w:rsidRPr="006E2985">
        <w:t xml:space="preserve"> 27.7 ± 4.4 kg/m², p = 0.001). Obesity (OR = 1.39, 95% CI: 1.12–1.73, p = 0.004), abdominal obesity (OR = 2.08, 95% CI: 1.15–3.78, p = 0.016), and increased lumbar angle (OR = 1.04, 95% CI: 1.01–1.07, p = 0.022) were significant predictors of poor clinical outcomes. Each 1 kg/m² increase in body mass index was associated with increased pain score (β = 0.11, p = 0.001). Conclusion: Obesity, particularly abdominal obesity, was significantly associated with greater pain severity, functional limitation, and poor clinical outcomes among adults with low back pain attending rehabilitation services. Integration of weight-management and biomechanical rehabilitation strategies may improve clinical recovery and reduce disability burden. Keywords: Low back pain, obesity, abdominal obesity, body mass index, rehabilitation, disability, pain severity, lumbar angle, case-control study.</w:t>
      </w:r>
    </w:p>
    <w:p w:rsidR="006E2985" w:rsidRPr="006E2985" w:rsidRDefault="006E2985" w:rsidP="006E2985">
      <w:pPr>
        <w:pStyle w:val="Body"/>
      </w:pPr>
    </w:p>
    <w:p w:rsidR="006E2985" w:rsidRPr="006E2985" w:rsidRDefault="006E2985" w:rsidP="006E2985">
      <w:pPr>
        <w:pStyle w:val="Heading1"/>
      </w:pPr>
      <w:r>
        <w:t>I</w:t>
      </w:r>
      <w:r w:rsidRPr="006E2985">
        <w:t>ntroduction</w:t>
      </w:r>
    </w:p>
    <w:p w:rsidR="006E2985" w:rsidRPr="006E2985" w:rsidRDefault="006E2985" w:rsidP="006E2985">
      <w:pPr>
        <w:pStyle w:val="Body"/>
      </w:pPr>
      <w:r w:rsidRPr="006E2985">
        <w:t>Low back pain is among the leading causes of disability worldwide and represents a major public health burden affecting functional mobility, work productivity, and quality of life across different age groups. The condition contributes substantially to healthcare utilization and socioeconomic loss, particularly in developing countries where lifestyle-related risk factors are rapidly increasing. Recent evidence has shown that obesity is an important modifiable factor associated with the onset, persistence, and severity of low back pain through complex biomechanical, inflammatory, and metabolic pathways (1). Excess body weight increases axial loading on the lumbar spine, alters spinal biomechanics, contributes to intervertebral disc degeneration, and promotes chronic musculoskeletal stress, ultimately increasing the likelihood of pain and disability (2).</w:t>
      </w:r>
    </w:p>
    <w:p w:rsidR="006E2985" w:rsidRPr="006E2985" w:rsidRDefault="006E2985" w:rsidP="006E2985">
      <w:pPr>
        <w:pStyle w:val="Body"/>
      </w:pPr>
      <w:r w:rsidRPr="006E2985">
        <w:t xml:space="preserve">Obesity has emerged as a global epidemic with increasing prevalence among adults, leading to rising rates of musculoskeletal disorders including chronic low back pain. Increased adiposity, particularly abdominal obesity, may alter pelvic alignment and lumbar </w:t>
      </w:r>
      <w:proofErr w:type="spellStart"/>
      <w:r w:rsidRPr="006E2985">
        <w:t>lordosis</w:t>
      </w:r>
      <w:proofErr w:type="spellEnd"/>
      <w:r w:rsidRPr="006E2985">
        <w:t xml:space="preserve">, thereby increasing mechanical strain on spinal structures and reducing postural stability (3). Furthermore, obesity-related systemic inflammation mediated by </w:t>
      </w:r>
      <w:proofErr w:type="spellStart"/>
      <w:r w:rsidRPr="006E2985">
        <w:t>adipokines</w:t>
      </w:r>
      <w:proofErr w:type="spellEnd"/>
      <w:r w:rsidRPr="006E2985">
        <w:t xml:space="preserve"> and inflammatory cytokines has been implicated in pain sensitization and chronicity (4). Previous studies have </w:t>
      </w:r>
      <w:r w:rsidRPr="006E2985">
        <w:lastRenderedPageBreak/>
        <w:t>demonstrated that overweight and obese individuals are more likely to report higher pain intensity, reduced physical activity, functional limitation, and poorer rehabilitation outcomes compared with individuals having normal body mass index (5</w:t>
      </w:r>
      <w:proofErr w:type="gramStart"/>
      <w:r w:rsidRPr="006E2985">
        <w:t>,6</w:t>
      </w:r>
      <w:proofErr w:type="gramEnd"/>
      <w:r w:rsidRPr="006E2985">
        <w:t>).</w:t>
      </w:r>
    </w:p>
    <w:p w:rsidR="006E2985" w:rsidRPr="006E2985" w:rsidRDefault="006E2985" w:rsidP="006E2985">
      <w:pPr>
        <w:pStyle w:val="Body"/>
      </w:pPr>
      <w:r w:rsidRPr="006E2985">
        <w:t xml:space="preserve">Several epidemiological and clinical investigations have reported a positive association between obesity and low back pain severity. A recent meta-analysis demonstrated that overweight and obesity significantly increase the risk of chronic low back pain across multiple populations (7). Similarly, longitudinal evidence from the HUNT study reported obesity as an independent predictor of persistent low back pain over time (8). In addition, </w:t>
      </w:r>
      <w:bookmarkStart w:id="0" w:name="_GoBack"/>
      <w:bookmarkEnd w:id="0"/>
      <w:r w:rsidRPr="006E2985">
        <w:t>abdominal adiposity has been associated with altered lumbar curvature and nearly double the risk of developing low back pain, suggesting that central obesity may play a stronger role than generalized obesity alone (9). Research conducted among Pakistani populations has also shown a significant relationship between elevated body mass index and low back pain prevalence, emphasizing the growing clinical relevance of obesity-related musculoskeletal disorders within local healthcare settings (10).</w:t>
      </w:r>
    </w:p>
    <w:p w:rsidR="006E2985" w:rsidRPr="006E2985" w:rsidRDefault="006E2985" w:rsidP="006E2985">
      <w:pPr>
        <w:pStyle w:val="Body"/>
      </w:pPr>
      <w:r w:rsidRPr="006E2985">
        <w:t>Despite increasing international evidence, limited data are available regarding the relationship between obesity and clinical outcomes of low back pain among adults attending rehabilitation centers in Pakistan. Most existing local studies primarily focus on prevalence rather than evaluating functional disability, pain severity, and predictors of poor clinical outcomes in obese individuals with low back pain. Moreover, there remains insufficient evidence assessing the combined role of body mass index, abdominal obesity, sedentary lifestyle, and altered lumbar biomechanics within rehabilitation populations. Understanding these associations is clinically important for designing targeted rehabilitation strategies, preventive interventions, and weight-management approaches for patients presenting with chronic musculoskeletal pain.</w:t>
      </w:r>
    </w:p>
    <w:p w:rsidR="006E2985" w:rsidRPr="006E2985" w:rsidRDefault="006E2985" w:rsidP="006E2985">
      <w:pPr>
        <w:pStyle w:val="Body"/>
      </w:pPr>
      <w:r w:rsidRPr="006E2985">
        <w:t xml:space="preserve">Therefore, this study aimed to determine the association between obesity and clinical outcomes of low back pain among adults attending </w:t>
      </w:r>
      <w:proofErr w:type="spellStart"/>
      <w:r w:rsidRPr="006E2985">
        <w:t>Riphah</w:t>
      </w:r>
      <w:proofErr w:type="spellEnd"/>
      <w:r w:rsidRPr="006E2985">
        <w:t xml:space="preserve"> Rehabilitation Center using a case-control design. The study further evaluated the influence of body mass index, abdominal obesity, lumbar angle, and lifestyle-related factors on pain severity and functional disability among patients with low back pain. It was hypothesized that obesity and abdominal adiposity would be significantly associated with poorer clinical outcomes, increased pain intensity, and greater functional limitation among adults with low back pain. </w:t>
      </w:r>
    </w:p>
    <w:p w:rsidR="006E2985" w:rsidRPr="006E2985" w:rsidRDefault="006E2985" w:rsidP="006E2985">
      <w:pPr>
        <w:pStyle w:val="Heading1"/>
      </w:pPr>
      <w:r w:rsidRPr="006E2985">
        <w:t>Materials and Methods</w:t>
      </w:r>
    </w:p>
    <w:p w:rsidR="006E2985" w:rsidRPr="006E2985" w:rsidRDefault="006E2985" w:rsidP="006E2985">
      <w:pPr>
        <w:pStyle w:val="Body"/>
      </w:pPr>
      <w:r w:rsidRPr="006E2985">
        <w:t xml:space="preserve">This analytical case-control study was conducted at </w:t>
      </w:r>
      <w:proofErr w:type="spellStart"/>
      <w:r w:rsidRPr="006E2985">
        <w:t>Riphah</w:t>
      </w:r>
      <w:proofErr w:type="spellEnd"/>
      <w:r w:rsidRPr="006E2985">
        <w:t xml:space="preserve"> Rehabilitation Center to evaluate the association between obesity and clinical outcomes of low back pain among adults attending rehabilitation services. The study included a total of 178 participants comprising 89 diagnosed cases with low back pain and 89 controls without low back pain. Participants were recruited using a non-probability consecutive sampling technique during the data collection period. Adults aged 18 years and above who attended the rehabilitation center and were able to provide informed consent were considered eligible for participation. Cases included patients clinically diagnosed with low back pain by rehabilitation or musculoskeletal specialists, whereas controls consisted of adults without current low back pain symptoms. Individuals with recent spinal trauma, spinal malignancy, congenital spinal deformity, inflammatory rheumatologic disease, pregnancy, neurological disorders affecting mobility, or previous spinal surgery were excluded to minimize confounding factors affecting pain and functional outcomes.</w:t>
      </w:r>
    </w:p>
    <w:p w:rsidR="006E2985" w:rsidRPr="006E2985" w:rsidRDefault="006E2985" w:rsidP="006E2985">
      <w:pPr>
        <w:pStyle w:val="Body"/>
      </w:pPr>
      <w:r w:rsidRPr="006E2985">
        <w:t>After obtaining informed written consent, demographic and clinical information was collected using a structured assessment form. Data regarding age, sex, smoking status, physical activity level, occupational prolonged sitting, previous history of low back pain, analgesic use, hypertension, and diabetes mellitus were recorded. Anthropometric measurements including body weight, height, waist circumference, and body mass index were assessed using standardized procedures. Body mass index was calculated as weight in kilograms divided by height in meters squared (kg/m²) and categorized according to established international criteria into normal weight, overweight, and obese groups. Abdominal obesity was assessed through waist circumference measurements using standard cutoff values. Lumbar angle assessment was performed through clinical musculoskeletal evaluation procedures routinely used within the rehabilitation setting.</w:t>
      </w:r>
    </w:p>
    <w:p w:rsidR="006E2985" w:rsidRPr="006E2985" w:rsidRDefault="006E2985" w:rsidP="006E2985">
      <w:pPr>
        <w:pStyle w:val="Body"/>
      </w:pPr>
      <w:r w:rsidRPr="006E2985">
        <w:t xml:space="preserve">Pain intensity among low back pain cases was assessed using a numerical pain rating scale ranging from 0 to 10, where higher scores indicated greater pain severity. Functional disability was evaluated using a standardized disability scoring system ranging from 0 to 100, with higher scores reflecting increased functional limitation. Moderate-to-severe pain and poor clinical outcomes were operationally defined according to clinically relevant pain and disability thresholds identified during analysis. Sedentary lifestyle was defined as low participation in </w:t>
      </w:r>
      <w:r w:rsidRPr="006E2985">
        <w:lastRenderedPageBreak/>
        <w:t>regular physical activity or prolonged sitting during occupational activities. All measurements were obtained by trained rehabilitation personnel to ensure consistency and reduce measurement bias.</w:t>
      </w:r>
    </w:p>
    <w:p w:rsidR="006E2985" w:rsidRPr="006E2985" w:rsidRDefault="006E2985" w:rsidP="006E2985">
      <w:pPr>
        <w:pStyle w:val="Body"/>
      </w:pPr>
      <w:r w:rsidRPr="006E2985">
        <w:t>Several methodological steps were implemented to improve internal validity and minimize bias. Equal allocation of cases and controls was maintained to enhance comparability between groups. Standardized data collection instruments and predefined operational definitions were used throughout the study. Potential confounding variables including age, sex, smoking status, diabetes mellitus, hypertension, physical activity level, and lumbar angle were considered during statistical analysis. Double-checking of data entry and verification of clinical records were performed to maintain data integrity and reproducibility.</w:t>
      </w:r>
    </w:p>
    <w:p w:rsidR="006E2985" w:rsidRPr="006E2985" w:rsidRDefault="006E2985" w:rsidP="006E2985">
      <w:pPr>
        <w:pStyle w:val="Body"/>
      </w:pPr>
      <w:r w:rsidRPr="006E2985">
        <w:t>The sample size of 178 participants, including 89 cases and 89 controls, was considered adequate to detect clinically meaningful associations between obesity-related variables and low back pain outcomes while maintaining statistical precision. Statistical analysis was performed using Statistical Package for the Social Sciences (SPSS) version 26.0. Continuous variables were summarized as mean ± standard deviation or median with interquartile range according to data distribution, while categorical variables were presented as frequencies and percentages. Independent sample t-tests and chi-square tests were applied for group comparisons where appropriate. Logistic regression analysis was performed to determine predictors of poor clinical outcomes, with results reported as odds ratios and 95% confidence intervals. Linear regression analysis was additionally conducted to evaluate the association between body mass index and pain score. A p-value of less than 0.05 was considered statistically significant. Missing or incomplete responses were reviewed against original records before analysis, and incomplete datasets with major missing variables were excluded from inferential analysis.</w:t>
      </w:r>
    </w:p>
    <w:p w:rsidR="006E2985" w:rsidRPr="006E2985" w:rsidRDefault="006E2985" w:rsidP="006E2985">
      <w:pPr>
        <w:pStyle w:val="Body"/>
      </w:pPr>
      <w:r w:rsidRPr="006E2985">
        <w:t xml:space="preserve">Ethical approval for the study was obtained from the institutional ethical review committee of </w:t>
      </w:r>
      <w:proofErr w:type="spellStart"/>
      <w:r w:rsidRPr="006E2985">
        <w:t>Riphah</w:t>
      </w:r>
      <w:proofErr w:type="spellEnd"/>
      <w:r w:rsidRPr="006E2985">
        <w:t xml:space="preserve"> International University prior to data collection. All participants were informed regarding study objectives, confidentiality of information, voluntary participation, and the right to withdraw from the study at any stage without affecting their rehabilitation care. Participant anonymity and confidentiality were maintained throughout the research process in accordance with ethical principles for human subject research (11–15). </w:t>
      </w:r>
    </w:p>
    <w:p w:rsidR="006E2985" w:rsidRPr="006E2985" w:rsidRDefault="006E2985" w:rsidP="006E2985">
      <w:pPr>
        <w:pStyle w:val="Heading1"/>
      </w:pPr>
      <w:r w:rsidRPr="006E2985">
        <w:t>Results</w:t>
      </w:r>
    </w:p>
    <w:p w:rsidR="006E2985" w:rsidRPr="006E2985" w:rsidRDefault="006E2985" w:rsidP="006E2985">
      <w:pPr>
        <w:pStyle w:val="Body"/>
      </w:pPr>
      <w:r w:rsidRPr="006E2985">
        <w:t xml:space="preserve">A total of 178 participants were included in the study, comprising 89 low back pain cases and 89 controls without low back pain. The mean age of the participants was 43.8 ± 12.6 years. Females constituted 61.8% of the study population, while males accounted for 38.2%. The overall mean body mass index was 29.4 ± 5.1 kg/m², with 40.4% participants categorized as overweight and 34.3% classified as obese. Abdominal obesity was identified in 60.1% of participants, whereas the mean waist circumference was 96.8 ± 11.7 cm. Among low back pain cases, the median pain duration was 8.0 months with an interquartile range of 4.0–14.0 months (Table 1). </w:t>
      </w:r>
    </w:p>
    <w:p w:rsidR="006E2985" w:rsidRPr="006E2985" w:rsidRDefault="006E2985" w:rsidP="006E2985">
      <w:pPr>
        <w:pStyle w:val="Caption"/>
      </w:pPr>
      <w:r w:rsidRPr="006E2985">
        <w:t>Table 1. Baseline Demographic and Clinical Characteristics of Study Participants (n = 178)</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798"/>
        <w:gridCol w:w="1424"/>
        <w:gridCol w:w="1424"/>
        <w:gridCol w:w="1610"/>
        <w:gridCol w:w="771"/>
      </w:tblGrid>
      <w:tr w:rsidR="006E2985" w:rsidRPr="006E2985" w:rsidTr="006E2985">
        <w:trPr>
          <w:tblHeader/>
          <w:tblCellSpacing w:w="0" w:type="dxa"/>
        </w:trPr>
        <w:tc>
          <w:tcPr>
            <w:tcW w:w="2103"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Variable</w:t>
            </w:r>
          </w:p>
        </w:tc>
        <w:tc>
          <w:tcPr>
            <w:tcW w:w="789"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Total (n=178)</w:t>
            </w:r>
          </w:p>
        </w:tc>
        <w:tc>
          <w:tcPr>
            <w:tcW w:w="789"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Cases (n=89)</w:t>
            </w:r>
          </w:p>
        </w:tc>
        <w:tc>
          <w:tcPr>
            <w:tcW w:w="892"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Controls (n=89)</w:t>
            </w:r>
          </w:p>
        </w:tc>
        <w:tc>
          <w:tcPr>
            <w:tcW w:w="427"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p-value</w:t>
            </w:r>
          </w:p>
        </w:tc>
      </w:tr>
      <w:tr w:rsidR="006E2985" w:rsidRPr="006E2985" w:rsidTr="006E2985">
        <w:trPr>
          <w:tblCellSpacing w:w="0" w:type="dxa"/>
        </w:trPr>
        <w:tc>
          <w:tcPr>
            <w:tcW w:w="2103"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Age (years), mean ± SD</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43.8 ± 12.6</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44.9 ± 11.8</w:t>
            </w:r>
          </w:p>
        </w:tc>
        <w:tc>
          <w:tcPr>
            <w:tcW w:w="89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42.7 ± 13.2</w:t>
            </w:r>
          </w:p>
        </w:tc>
        <w:tc>
          <w:tcPr>
            <w:tcW w:w="42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0.284</w:t>
            </w:r>
          </w:p>
        </w:tc>
      </w:tr>
      <w:tr w:rsidR="006E2985" w:rsidRPr="006E2985" w:rsidTr="006E2985">
        <w:trPr>
          <w:tblCellSpacing w:w="0" w:type="dxa"/>
        </w:trPr>
        <w:tc>
          <w:tcPr>
            <w:tcW w:w="2103"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Female sex, n (%)</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110 (61.8%)</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59 (66.3%)</w:t>
            </w:r>
          </w:p>
        </w:tc>
        <w:tc>
          <w:tcPr>
            <w:tcW w:w="89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51 (57.3%)</w:t>
            </w:r>
          </w:p>
        </w:tc>
        <w:tc>
          <w:tcPr>
            <w:tcW w:w="42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0.218</w:t>
            </w:r>
          </w:p>
        </w:tc>
      </w:tr>
      <w:tr w:rsidR="006E2985" w:rsidRPr="006E2985" w:rsidTr="006E2985">
        <w:trPr>
          <w:tblCellSpacing w:w="0" w:type="dxa"/>
        </w:trPr>
        <w:tc>
          <w:tcPr>
            <w:tcW w:w="2103"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Male sex, n (%)</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68 (38.2%)</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30 (33.7%)</w:t>
            </w:r>
          </w:p>
        </w:tc>
        <w:tc>
          <w:tcPr>
            <w:tcW w:w="89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38 (42.7%)</w:t>
            </w:r>
          </w:p>
        </w:tc>
        <w:tc>
          <w:tcPr>
            <w:tcW w:w="42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0.218</w:t>
            </w:r>
          </w:p>
        </w:tc>
      </w:tr>
      <w:tr w:rsidR="006E2985" w:rsidRPr="006E2985" w:rsidTr="006E2985">
        <w:trPr>
          <w:tblCellSpacing w:w="0" w:type="dxa"/>
        </w:trPr>
        <w:tc>
          <w:tcPr>
            <w:tcW w:w="2103"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BMI (kg/m²), mean ± SD</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29.4 ± 5.1</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31.1 ± 5.3</w:t>
            </w:r>
          </w:p>
        </w:tc>
        <w:tc>
          <w:tcPr>
            <w:tcW w:w="89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27.7 ± 4.4</w:t>
            </w:r>
          </w:p>
        </w:tc>
        <w:tc>
          <w:tcPr>
            <w:tcW w:w="42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0.001</w:t>
            </w:r>
          </w:p>
        </w:tc>
      </w:tr>
      <w:tr w:rsidR="006E2985" w:rsidRPr="006E2985" w:rsidTr="006E2985">
        <w:trPr>
          <w:tblCellSpacing w:w="0" w:type="dxa"/>
        </w:trPr>
        <w:tc>
          <w:tcPr>
            <w:tcW w:w="2103"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Normal BMI, n (%)</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45 (25.3%)</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13 (14.6%)</w:t>
            </w:r>
          </w:p>
        </w:tc>
        <w:tc>
          <w:tcPr>
            <w:tcW w:w="89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32 (36.0%)</w:t>
            </w:r>
          </w:p>
        </w:tc>
        <w:tc>
          <w:tcPr>
            <w:tcW w:w="42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0.002</w:t>
            </w:r>
          </w:p>
        </w:tc>
      </w:tr>
      <w:tr w:rsidR="006E2985" w:rsidRPr="006E2985" w:rsidTr="006E2985">
        <w:trPr>
          <w:tblCellSpacing w:w="0" w:type="dxa"/>
        </w:trPr>
        <w:tc>
          <w:tcPr>
            <w:tcW w:w="2103"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Overweight, n (%)</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72 (40.4%)</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39 (43.8%)</w:t>
            </w:r>
          </w:p>
        </w:tc>
        <w:tc>
          <w:tcPr>
            <w:tcW w:w="89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33 (37.1%)</w:t>
            </w:r>
          </w:p>
        </w:tc>
        <w:tc>
          <w:tcPr>
            <w:tcW w:w="42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0.361</w:t>
            </w:r>
          </w:p>
        </w:tc>
      </w:tr>
      <w:tr w:rsidR="006E2985" w:rsidRPr="006E2985" w:rsidTr="006E2985">
        <w:trPr>
          <w:tblCellSpacing w:w="0" w:type="dxa"/>
        </w:trPr>
        <w:tc>
          <w:tcPr>
            <w:tcW w:w="2103"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Obese, n (%)</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61 (34.3%)</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37 (41.6%)</w:t>
            </w:r>
          </w:p>
        </w:tc>
        <w:tc>
          <w:tcPr>
            <w:tcW w:w="89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24 (27.0%)</w:t>
            </w:r>
          </w:p>
        </w:tc>
        <w:tc>
          <w:tcPr>
            <w:tcW w:w="42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0.041</w:t>
            </w:r>
          </w:p>
        </w:tc>
      </w:tr>
      <w:tr w:rsidR="006E2985" w:rsidRPr="006E2985" w:rsidTr="006E2985">
        <w:trPr>
          <w:tblCellSpacing w:w="0" w:type="dxa"/>
        </w:trPr>
        <w:tc>
          <w:tcPr>
            <w:tcW w:w="2103"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Waist circumference (cm), mean ± SD</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96.8 ± 11.7</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101.4 ± 10.6</w:t>
            </w:r>
          </w:p>
        </w:tc>
        <w:tc>
          <w:tcPr>
            <w:tcW w:w="89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92.2 ± 10.8</w:t>
            </w:r>
          </w:p>
        </w:tc>
        <w:tc>
          <w:tcPr>
            <w:tcW w:w="42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0.001</w:t>
            </w:r>
          </w:p>
        </w:tc>
      </w:tr>
      <w:tr w:rsidR="006E2985" w:rsidRPr="006E2985" w:rsidTr="006E2985">
        <w:trPr>
          <w:tblCellSpacing w:w="0" w:type="dxa"/>
        </w:trPr>
        <w:tc>
          <w:tcPr>
            <w:tcW w:w="2103"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Abdominal obesity, n (%)</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107 (60.1%)</w:t>
            </w:r>
          </w:p>
        </w:tc>
        <w:tc>
          <w:tcPr>
            <w:tcW w:w="789"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63 (70.8%)</w:t>
            </w:r>
          </w:p>
        </w:tc>
        <w:tc>
          <w:tcPr>
            <w:tcW w:w="89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44 (49.4%)</w:t>
            </w:r>
          </w:p>
        </w:tc>
        <w:tc>
          <w:tcPr>
            <w:tcW w:w="42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0.004</w:t>
            </w:r>
          </w:p>
        </w:tc>
      </w:tr>
      <w:tr w:rsidR="006E2985" w:rsidRPr="006E2985" w:rsidTr="006E2985">
        <w:trPr>
          <w:tblCellSpacing w:w="0" w:type="dxa"/>
        </w:trPr>
        <w:tc>
          <w:tcPr>
            <w:tcW w:w="2103"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Pain duration (months), median (IQR)</w:t>
            </w:r>
          </w:p>
        </w:tc>
        <w:tc>
          <w:tcPr>
            <w:tcW w:w="789"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8.0 (4.0–14.0)</w:t>
            </w:r>
          </w:p>
        </w:tc>
        <w:tc>
          <w:tcPr>
            <w:tcW w:w="789"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8.0 (4.0–14.0)</w:t>
            </w:r>
          </w:p>
        </w:tc>
        <w:tc>
          <w:tcPr>
            <w:tcW w:w="892"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w:t>
            </w:r>
          </w:p>
        </w:tc>
        <w:tc>
          <w:tcPr>
            <w:tcW w:w="427"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w:t>
            </w:r>
          </w:p>
        </w:tc>
      </w:tr>
    </w:tbl>
    <w:p w:rsidR="006E2985" w:rsidRPr="006E2985" w:rsidRDefault="006E2985" w:rsidP="006E2985">
      <w:pPr>
        <w:pStyle w:val="Body"/>
      </w:pPr>
      <w:r w:rsidRPr="006E2985">
        <w:t xml:space="preserve">Participants demonstrated multiple obesity-related and lifestyle-associated comorbidities. Sedentary lifestyle was present in 53.9% of the overall study population, while low physical activity was reported by 56.7% participants. Occupational prolonged sitting was observed in 47.2% of individuals. Previous history of low back pain was identified in 41.0% of participants, and increased lumbar angle was noted in 38.8%. Hypertension and diabetes mellitus were present in 27.0% and 17.4% of participants, respectively (Table 2). </w:t>
      </w:r>
    </w:p>
    <w:p w:rsidR="006E2985" w:rsidRPr="006E2985" w:rsidRDefault="006E2985" w:rsidP="006E2985">
      <w:pPr>
        <w:pStyle w:val="Caption"/>
      </w:pPr>
      <w:r w:rsidRPr="006E2985">
        <w:t>Table 2. Clinical Comorbidities and Lifestyle Characteristics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3546"/>
        <w:gridCol w:w="1457"/>
        <w:gridCol w:w="1410"/>
        <w:gridCol w:w="1724"/>
        <w:gridCol w:w="890"/>
      </w:tblGrid>
      <w:tr w:rsidR="006E2985" w:rsidRPr="006E2985" w:rsidTr="006E2985">
        <w:trPr>
          <w:tblHeader/>
          <w:tblCellSpacing w:w="0" w:type="dxa"/>
        </w:trPr>
        <w:tc>
          <w:tcPr>
            <w:tcW w:w="1964"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Variable</w:t>
            </w:r>
          </w:p>
        </w:tc>
        <w:tc>
          <w:tcPr>
            <w:tcW w:w="807"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proofErr w:type="gramStart"/>
            <w:r w:rsidRPr="006E2985">
              <w:rPr>
                <w:b/>
                <w:color w:val="000000"/>
                <w:sz w:val="16"/>
              </w:rPr>
              <w:t>n</w:t>
            </w:r>
            <w:proofErr w:type="gramEnd"/>
            <w:r w:rsidRPr="006E2985">
              <w:rPr>
                <w:b/>
                <w:color w:val="000000"/>
                <w:sz w:val="16"/>
              </w:rPr>
              <w:t xml:space="preserve"> (%)</w:t>
            </w:r>
          </w:p>
        </w:tc>
        <w:tc>
          <w:tcPr>
            <w:tcW w:w="781"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Cases n (%)</w:t>
            </w:r>
          </w:p>
        </w:tc>
        <w:tc>
          <w:tcPr>
            <w:tcW w:w="955"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Controls n (%)</w:t>
            </w:r>
          </w:p>
        </w:tc>
        <w:tc>
          <w:tcPr>
            <w:tcW w:w="493"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p-value</w:t>
            </w:r>
          </w:p>
        </w:tc>
      </w:tr>
      <w:tr w:rsidR="006E2985" w:rsidRPr="006E2985" w:rsidTr="006E2985">
        <w:trPr>
          <w:tblCellSpacing w:w="0" w:type="dxa"/>
        </w:trPr>
        <w:tc>
          <w:tcPr>
            <w:tcW w:w="196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Hypertension</w:t>
            </w:r>
          </w:p>
        </w:tc>
        <w:tc>
          <w:tcPr>
            <w:tcW w:w="80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48 (27.0%)</w:t>
            </w:r>
          </w:p>
        </w:tc>
        <w:tc>
          <w:tcPr>
            <w:tcW w:w="781"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29 (32.6%)</w:t>
            </w:r>
          </w:p>
        </w:tc>
        <w:tc>
          <w:tcPr>
            <w:tcW w:w="955"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19 (21.3%)</w:t>
            </w:r>
          </w:p>
        </w:tc>
        <w:tc>
          <w:tcPr>
            <w:tcW w:w="493"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0.091</w:t>
            </w:r>
          </w:p>
        </w:tc>
      </w:tr>
      <w:tr w:rsidR="006E2985" w:rsidRPr="006E2985" w:rsidTr="006E2985">
        <w:trPr>
          <w:tblCellSpacing w:w="0" w:type="dxa"/>
        </w:trPr>
        <w:tc>
          <w:tcPr>
            <w:tcW w:w="196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Diabetes mellitus</w:t>
            </w:r>
          </w:p>
        </w:tc>
        <w:tc>
          <w:tcPr>
            <w:tcW w:w="80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31 (17.4%)</w:t>
            </w:r>
          </w:p>
        </w:tc>
        <w:tc>
          <w:tcPr>
            <w:tcW w:w="781"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19 (21.3%)</w:t>
            </w:r>
          </w:p>
        </w:tc>
        <w:tc>
          <w:tcPr>
            <w:tcW w:w="955"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12 (13.5%)</w:t>
            </w:r>
          </w:p>
        </w:tc>
        <w:tc>
          <w:tcPr>
            <w:tcW w:w="493"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0.172</w:t>
            </w:r>
          </w:p>
        </w:tc>
      </w:tr>
      <w:tr w:rsidR="006E2985" w:rsidRPr="006E2985" w:rsidTr="006E2985">
        <w:trPr>
          <w:tblCellSpacing w:w="0" w:type="dxa"/>
        </w:trPr>
        <w:tc>
          <w:tcPr>
            <w:tcW w:w="196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Current smoker</w:t>
            </w:r>
          </w:p>
        </w:tc>
        <w:tc>
          <w:tcPr>
            <w:tcW w:w="80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39 (21.9%)</w:t>
            </w:r>
          </w:p>
        </w:tc>
        <w:tc>
          <w:tcPr>
            <w:tcW w:w="781"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24 (27.0%)</w:t>
            </w:r>
          </w:p>
        </w:tc>
        <w:tc>
          <w:tcPr>
            <w:tcW w:w="955"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15 (16.9%)</w:t>
            </w:r>
          </w:p>
        </w:tc>
        <w:tc>
          <w:tcPr>
            <w:tcW w:w="493"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0.103</w:t>
            </w:r>
          </w:p>
        </w:tc>
      </w:tr>
      <w:tr w:rsidR="006E2985" w:rsidRPr="006E2985" w:rsidTr="006E2985">
        <w:trPr>
          <w:tblCellSpacing w:w="0" w:type="dxa"/>
        </w:trPr>
        <w:tc>
          <w:tcPr>
            <w:tcW w:w="196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lastRenderedPageBreak/>
              <w:t>Sedentary lifestyle</w:t>
            </w:r>
          </w:p>
        </w:tc>
        <w:tc>
          <w:tcPr>
            <w:tcW w:w="80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96 (53.9%)</w:t>
            </w:r>
          </w:p>
        </w:tc>
        <w:tc>
          <w:tcPr>
            <w:tcW w:w="781"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58 (65.2%)</w:t>
            </w:r>
          </w:p>
        </w:tc>
        <w:tc>
          <w:tcPr>
            <w:tcW w:w="955"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38 (42.7%)</w:t>
            </w:r>
          </w:p>
        </w:tc>
        <w:tc>
          <w:tcPr>
            <w:tcW w:w="493"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0.003</w:t>
            </w:r>
          </w:p>
        </w:tc>
      </w:tr>
      <w:tr w:rsidR="006E2985" w:rsidRPr="006E2985" w:rsidTr="006E2985">
        <w:trPr>
          <w:tblCellSpacing w:w="0" w:type="dxa"/>
        </w:trPr>
        <w:tc>
          <w:tcPr>
            <w:tcW w:w="196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Low physical activity</w:t>
            </w:r>
          </w:p>
        </w:tc>
        <w:tc>
          <w:tcPr>
            <w:tcW w:w="80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101 (56.7%)</w:t>
            </w:r>
          </w:p>
        </w:tc>
        <w:tc>
          <w:tcPr>
            <w:tcW w:w="781"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63 (70.8%)</w:t>
            </w:r>
          </w:p>
        </w:tc>
        <w:tc>
          <w:tcPr>
            <w:tcW w:w="955"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38 (42.7%)</w:t>
            </w:r>
          </w:p>
        </w:tc>
        <w:tc>
          <w:tcPr>
            <w:tcW w:w="493"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0.001</w:t>
            </w:r>
          </w:p>
        </w:tc>
      </w:tr>
      <w:tr w:rsidR="006E2985" w:rsidRPr="006E2985" w:rsidTr="006E2985">
        <w:trPr>
          <w:tblCellSpacing w:w="0" w:type="dxa"/>
        </w:trPr>
        <w:tc>
          <w:tcPr>
            <w:tcW w:w="196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Occupational prolonged sitting</w:t>
            </w:r>
          </w:p>
        </w:tc>
        <w:tc>
          <w:tcPr>
            <w:tcW w:w="80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84 (47.2%)</w:t>
            </w:r>
          </w:p>
        </w:tc>
        <w:tc>
          <w:tcPr>
            <w:tcW w:w="781"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51 (57.3%)</w:t>
            </w:r>
          </w:p>
        </w:tc>
        <w:tc>
          <w:tcPr>
            <w:tcW w:w="955"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33 (37.1%)</w:t>
            </w:r>
          </w:p>
        </w:tc>
        <w:tc>
          <w:tcPr>
            <w:tcW w:w="493"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0.007</w:t>
            </w:r>
          </w:p>
        </w:tc>
      </w:tr>
      <w:tr w:rsidR="006E2985" w:rsidRPr="006E2985" w:rsidTr="006E2985">
        <w:trPr>
          <w:tblCellSpacing w:w="0" w:type="dxa"/>
        </w:trPr>
        <w:tc>
          <w:tcPr>
            <w:tcW w:w="196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Prior episode of low back pain</w:t>
            </w:r>
          </w:p>
        </w:tc>
        <w:tc>
          <w:tcPr>
            <w:tcW w:w="80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73 (41.0%)</w:t>
            </w:r>
          </w:p>
        </w:tc>
        <w:tc>
          <w:tcPr>
            <w:tcW w:w="781"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49 (55.1%)</w:t>
            </w:r>
          </w:p>
        </w:tc>
        <w:tc>
          <w:tcPr>
            <w:tcW w:w="955"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24 (27.0%)</w:t>
            </w:r>
          </w:p>
        </w:tc>
        <w:tc>
          <w:tcPr>
            <w:tcW w:w="493"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0.001</w:t>
            </w:r>
          </w:p>
        </w:tc>
      </w:tr>
      <w:tr w:rsidR="006E2985" w:rsidRPr="006E2985" w:rsidTr="006E2985">
        <w:trPr>
          <w:tblCellSpacing w:w="0" w:type="dxa"/>
        </w:trPr>
        <w:tc>
          <w:tcPr>
            <w:tcW w:w="196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Increased lumbar angle</w:t>
            </w:r>
          </w:p>
        </w:tc>
        <w:tc>
          <w:tcPr>
            <w:tcW w:w="80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69 (38.8%)</w:t>
            </w:r>
          </w:p>
        </w:tc>
        <w:tc>
          <w:tcPr>
            <w:tcW w:w="781"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46 (51.7%)</w:t>
            </w:r>
          </w:p>
        </w:tc>
        <w:tc>
          <w:tcPr>
            <w:tcW w:w="955"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23 (25.8%)</w:t>
            </w:r>
          </w:p>
        </w:tc>
        <w:tc>
          <w:tcPr>
            <w:tcW w:w="493"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0.001</w:t>
            </w:r>
          </w:p>
        </w:tc>
      </w:tr>
      <w:tr w:rsidR="006E2985" w:rsidRPr="006E2985" w:rsidTr="006E2985">
        <w:trPr>
          <w:tblCellSpacing w:w="0" w:type="dxa"/>
        </w:trPr>
        <w:tc>
          <w:tcPr>
            <w:tcW w:w="1964"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Analgesic use in past month</w:t>
            </w:r>
          </w:p>
        </w:tc>
        <w:tc>
          <w:tcPr>
            <w:tcW w:w="807"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78 (43.8%)</w:t>
            </w:r>
          </w:p>
        </w:tc>
        <w:tc>
          <w:tcPr>
            <w:tcW w:w="781"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57 (64.0%)</w:t>
            </w:r>
          </w:p>
        </w:tc>
        <w:tc>
          <w:tcPr>
            <w:tcW w:w="955"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21 (23.6%)</w:t>
            </w:r>
          </w:p>
        </w:tc>
        <w:tc>
          <w:tcPr>
            <w:tcW w:w="493"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0.001</w:t>
            </w:r>
          </w:p>
        </w:tc>
      </w:tr>
    </w:tbl>
    <w:p w:rsidR="006E2985" w:rsidRPr="006E2985" w:rsidRDefault="006E2985" w:rsidP="006E2985">
      <w:pPr>
        <w:pStyle w:val="Body"/>
      </w:pPr>
      <w:r w:rsidRPr="006E2985">
        <w:t xml:space="preserve">Among the 89 low back pain cases, the mean pain score was 5.8 ± 2.1 on the 0–10 numerical pain rating scale, while the mean disability score was 31.6 ± 14.8 on the 0–100 disability index. Moderate-to-severe pain was identified in 32.6% of participants, whereas functional limitation and poor clinical outcome were observed in 36.0% and 34.3% of cases, respectively (Table 3). </w:t>
      </w:r>
    </w:p>
    <w:p w:rsidR="006E2985" w:rsidRPr="006E2985" w:rsidRDefault="006E2985" w:rsidP="006E2985">
      <w:pPr>
        <w:pStyle w:val="Caption"/>
      </w:pPr>
      <w:r w:rsidRPr="006E2985">
        <w:t xml:space="preserve">Table 3. Clinical Outcomes </w:t>
      </w:r>
      <w:proofErr w:type="gramStart"/>
      <w:r w:rsidRPr="006E2985">
        <w:t>Among</w:t>
      </w:r>
      <w:proofErr w:type="gramEnd"/>
      <w:r w:rsidRPr="006E2985">
        <w:t xml:space="preserve"> Low Back Pain Cases</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96"/>
        <w:gridCol w:w="3531"/>
      </w:tblGrid>
      <w:tr w:rsidR="006E2985" w:rsidRPr="006E2985" w:rsidTr="006E2985">
        <w:trPr>
          <w:tblHeader/>
          <w:tblCellSpacing w:w="0" w:type="dxa"/>
        </w:trPr>
        <w:tc>
          <w:tcPr>
            <w:tcW w:w="3044"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Outcome Variable</w:t>
            </w:r>
          </w:p>
        </w:tc>
        <w:tc>
          <w:tcPr>
            <w:tcW w:w="1956"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n (%) / Mean ± SD</w:t>
            </w:r>
          </w:p>
        </w:tc>
      </w:tr>
      <w:tr w:rsidR="006E2985" w:rsidRPr="006E2985" w:rsidTr="006E2985">
        <w:trPr>
          <w:tblCellSpacing w:w="0" w:type="dxa"/>
        </w:trPr>
        <w:tc>
          <w:tcPr>
            <w:tcW w:w="304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Moderate-to-severe pain</w:t>
            </w:r>
          </w:p>
        </w:tc>
        <w:tc>
          <w:tcPr>
            <w:tcW w:w="195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58 (32.6%)</w:t>
            </w:r>
          </w:p>
        </w:tc>
      </w:tr>
      <w:tr w:rsidR="006E2985" w:rsidRPr="006E2985" w:rsidTr="006E2985">
        <w:trPr>
          <w:tblCellSpacing w:w="0" w:type="dxa"/>
        </w:trPr>
        <w:tc>
          <w:tcPr>
            <w:tcW w:w="304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Functional limitation</w:t>
            </w:r>
          </w:p>
        </w:tc>
        <w:tc>
          <w:tcPr>
            <w:tcW w:w="195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64 (36.0%)</w:t>
            </w:r>
          </w:p>
        </w:tc>
      </w:tr>
      <w:tr w:rsidR="006E2985" w:rsidRPr="006E2985" w:rsidTr="006E2985">
        <w:trPr>
          <w:tblCellSpacing w:w="0" w:type="dxa"/>
        </w:trPr>
        <w:tc>
          <w:tcPr>
            <w:tcW w:w="304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Poor clinical outcome</w:t>
            </w:r>
          </w:p>
        </w:tc>
        <w:tc>
          <w:tcPr>
            <w:tcW w:w="195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61 (34.3%)</w:t>
            </w:r>
          </w:p>
        </w:tc>
      </w:tr>
      <w:tr w:rsidR="006E2985" w:rsidRPr="006E2985" w:rsidTr="006E2985">
        <w:trPr>
          <w:tblCellSpacing w:w="0" w:type="dxa"/>
        </w:trPr>
        <w:tc>
          <w:tcPr>
            <w:tcW w:w="3044"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Pain score (0–10 scale)</w:t>
            </w:r>
          </w:p>
        </w:tc>
        <w:tc>
          <w:tcPr>
            <w:tcW w:w="195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5.8 ± 2.1</w:t>
            </w:r>
          </w:p>
        </w:tc>
      </w:tr>
      <w:tr w:rsidR="006E2985" w:rsidRPr="006E2985" w:rsidTr="006E2985">
        <w:trPr>
          <w:tblCellSpacing w:w="0" w:type="dxa"/>
        </w:trPr>
        <w:tc>
          <w:tcPr>
            <w:tcW w:w="3044"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Disability score (0–100 scale)</w:t>
            </w:r>
          </w:p>
        </w:tc>
        <w:tc>
          <w:tcPr>
            <w:tcW w:w="1956"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31.6 ± 14.8</w:t>
            </w:r>
          </w:p>
        </w:tc>
      </w:tr>
    </w:tbl>
    <w:p w:rsidR="006E2985" w:rsidRPr="006E2985" w:rsidRDefault="006E2985" w:rsidP="006E2985">
      <w:pPr>
        <w:pStyle w:val="Body"/>
      </w:pPr>
      <w:r w:rsidRPr="006E2985">
        <w:t xml:space="preserve">Inferential analysis demonstrated that obesity-related variables were significantly associated with poor clinical outcomes among individuals with low back pain. Obesity was associated with a 39% increase in the odds of poor clinical outcome (OR = 1.39, 95% CI: 1.12–1.73, p = 0.004), while abdominal obesity demonstrated approximately two-fold increased odds (OR = 2.08, 95% CI: 1.15–3.78, p = 0.016). Increased lumbar angle also showed a statistically significant association with poor clinical outcome (OR = 1.04, 95% CI: 1.01–1.07, p = 0.022). Furthermore, each one-unit increase in BMI was associated with a corresponding increase in pain score (β = 0.11, 95% CI: 0.05–0.17, p = 0.001). Female sex and sedentary lifestyle demonstrated directionally higher odds but did not reach statistical significance (Table 4). </w:t>
      </w:r>
    </w:p>
    <w:p w:rsidR="006E2985" w:rsidRPr="006E2985" w:rsidRDefault="006E2985" w:rsidP="006E2985">
      <w:pPr>
        <w:pStyle w:val="Caption"/>
      </w:pPr>
      <w:r w:rsidRPr="006E2985">
        <w:t xml:space="preserve">Table 4. Predictors of Poor Clinical Outcome </w:t>
      </w:r>
      <w:proofErr w:type="gramStart"/>
      <w:r w:rsidRPr="006E2985">
        <w:t>Among</w:t>
      </w:r>
      <w:proofErr w:type="gramEnd"/>
      <w:r w:rsidRPr="006E2985">
        <w:t xml:space="preserve"> Patients with Low Back Pain</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13"/>
        <w:gridCol w:w="1329"/>
        <w:gridCol w:w="879"/>
        <w:gridCol w:w="668"/>
        <w:gridCol w:w="3938"/>
      </w:tblGrid>
      <w:tr w:rsidR="006E2985" w:rsidRPr="006E2985" w:rsidTr="006E2985">
        <w:trPr>
          <w:tblHeader/>
          <w:tblCellSpacing w:w="0" w:type="dxa"/>
        </w:trPr>
        <w:tc>
          <w:tcPr>
            <w:tcW w:w="1226"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Predictor</w:t>
            </w:r>
          </w:p>
        </w:tc>
        <w:tc>
          <w:tcPr>
            <w:tcW w:w="736"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Effect Measure</w:t>
            </w:r>
          </w:p>
        </w:tc>
        <w:tc>
          <w:tcPr>
            <w:tcW w:w="487"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95% CI</w:t>
            </w:r>
          </w:p>
        </w:tc>
        <w:tc>
          <w:tcPr>
            <w:tcW w:w="370"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p-value</w:t>
            </w:r>
          </w:p>
        </w:tc>
        <w:tc>
          <w:tcPr>
            <w:tcW w:w="2182" w:type="pct"/>
            <w:tcBorders>
              <w:top w:val="single" w:sz="4" w:space="0" w:color="auto"/>
              <w:bottom w:val="single" w:sz="4" w:space="0" w:color="000000"/>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Interpretation</w:t>
            </w:r>
          </w:p>
        </w:tc>
      </w:tr>
      <w:tr w:rsidR="006E2985" w:rsidRPr="006E2985" w:rsidTr="006E2985">
        <w:trPr>
          <w:tblCellSpacing w:w="0" w:type="dxa"/>
        </w:trPr>
        <w:tc>
          <w:tcPr>
            <w:tcW w:w="1226"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Overweight BMI</w:t>
            </w:r>
          </w:p>
        </w:tc>
        <w:tc>
          <w:tcPr>
            <w:tcW w:w="73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OR = 1.18</w:t>
            </w:r>
          </w:p>
        </w:tc>
        <w:tc>
          <w:tcPr>
            <w:tcW w:w="48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1.02–1.37</w:t>
            </w:r>
          </w:p>
        </w:tc>
        <w:tc>
          <w:tcPr>
            <w:tcW w:w="370"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0.031</w:t>
            </w:r>
          </w:p>
        </w:tc>
        <w:tc>
          <w:tcPr>
            <w:tcW w:w="218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Modestly increased odds</w:t>
            </w:r>
          </w:p>
        </w:tc>
      </w:tr>
      <w:tr w:rsidR="006E2985" w:rsidRPr="006E2985" w:rsidTr="006E2985">
        <w:trPr>
          <w:tblCellSpacing w:w="0" w:type="dxa"/>
        </w:trPr>
        <w:tc>
          <w:tcPr>
            <w:tcW w:w="1226"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Obesity</w:t>
            </w:r>
          </w:p>
        </w:tc>
        <w:tc>
          <w:tcPr>
            <w:tcW w:w="73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OR = 1.39</w:t>
            </w:r>
          </w:p>
        </w:tc>
        <w:tc>
          <w:tcPr>
            <w:tcW w:w="48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1.12–1.73</w:t>
            </w:r>
          </w:p>
        </w:tc>
        <w:tc>
          <w:tcPr>
            <w:tcW w:w="370"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0.004</w:t>
            </w:r>
          </w:p>
        </w:tc>
        <w:tc>
          <w:tcPr>
            <w:tcW w:w="218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Significant predictor</w:t>
            </w:r>
          </w:p>
        </w:tc>
      </w:tr>
      <w:tr w:rsidR="006E2985" w:rsidRPr="006E2985" w:rsidTr="006E2985">
        <w:trPr>
          <w:tblCellSpacing w:w="0" w:type="dxa"/>
        </w:trPr>
        <w:tc>
          <w:tcPr>
            <w:tcW w:w="1226"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Abdominal obesity</w:t>
            </w:r>
          </w:p>
        </w:tc>
        <w:tc>
          <w:tcPr>
            <w:tcW w:w="73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OR = 2.08</w:t>
            </w:r>
          </w:p>
        </w:tc>
        <w:tc>
          <w:tcPr>
            <w:tcW w:w="48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1.15–3.78</w:t>
            </w:r>
          </w:p>
        </w:tc>
        <w:tc>
          <w:tcPr>
            <w:tcW w:w="370"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0.016</w:t>
            </w:r>
          </w:p>
        </w:tc>
        <w:tc>
          <w:tcPr>
            <w:tcW w:w="218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Approximately two-fold increased odds</w:t>
            </w:r>
          </w:p>
        </w:tc>
      </w:tr>
      <w:tr w:rsidR="006E2985" w:rsidRPr="006E2985" w:rsidTr="006E2985">
        <w:trPr>
          <w:tblCellSpacing w:w="0" w:type="dxa"/>
        </w:trPr>
        <w:tc>
          <w:tcPr>
            <w:tcW w:w="1226"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Increased lumbar angle</w:t>
            </w:r>
          </w:p>
        </w:tc>
        <w:tc>
          <w:tcPr>
            <w:tcW w:w="73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OR = 1.04</w:t>
            </w:r>
          </w:p>
        </w:tc>
        <w:tc>
          <w:tcPr>
            <w:tcW w:w="48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1.01–1.07</w:t>
            </w:r>
          </w:p>
        </w:tc>
        <w:tc>
          <w:tcPr>
            <w:tcW w:w="370"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0.022</w:t>
            </w:r>
          </w:p>
        </w:tc>
        <w:tc>
          <w:tcPr>
            <w:tcW w:w="218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Small but significant increase</w:t>
            </w:r>
          </w:p>
        </w:tc>
      </w:tr>
      <w:tr w:rsidR="006E2985" w:rsidRPr="006E2985" w:rsidTr="006E2985">
        <w:trPr>
          <w:tblCellSpacing w:w="0" w:type="dxa"/>
        </w:trPr>
        <w:tc>
          <w:tcPr>
            <w:tcW w:w="1226"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Female sex</w:t>
            </w:r>
          </w:p>
        </w:tc>
        <w:tc>
          <w:tcPr>
            <w:tcW w:w="73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OR = 1.31</w:t>
            </w:r>
          </w:p>
        </w:tc>
        <w:tc>
          <w:tcPr>
            <w:tcW w:w="48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0.72–2.39</w:t>
            </w:r>
          </w:p>
        </w:tc>
        <w:tc>
          <w:tcPr>
            <w:tcW w:w="370"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0.374</w:t>
            </w:r>
          </w:p>
        </w:tc>
        <w:tc>
          <w:tcPr>
            <w:tcW w:w="218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Not statistically significant</w:t>
            </w:r>
          </w:p>
        </w:tc>
      </w:tr>
      <w:tr w:rsidR="006E2985" w:rsidRPr="006E2985" w:rsidTr="006E2985">
        <w:trPr>
          <w:tblCellSpacing w:w="0" w:type="dxa"/>
        </w:trPr>
        <w:tc>
          <w:tcPr>
            <w:tcW w:w="1226" w:type="pct"/>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Sedentary lifestyle</w:t>
            </w:r>
          </w:p>
        </w:tc>
        <w:tc>
          <w:tcPr>
            <w:tcW w:w="736"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OR = 1.46</w:t>
            </w:r>
          </w:p>
        </w:tc>
        <w:tc>
          <w:tcPr>
            <w:tcW w:w="487"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0.81–2.64</w:t>
            </w:r>
          </w:p>
        </w:tc>
        <w:tc>
          <w:tcPr>
            <w:tcW w:w="370"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0.207</w:t>
            </w:r>
          </w:p>
        </w:tc>
        <w:tc>
          <w:tcPr>
            <w:tcW w:w="2182" w:type="pct"/>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Directionally higher odds</w:t>
            </w:r>
          </w:p>
        </w:tc>
      </w:tr>
      <w:tr w:rsidR="006E2985" w:rsidRPr="006E2985" w:rsidTr="006E2985">
        <w:trPr>
          <w:tblCellSpacing w:w="0" w:type="dxa"/>
        </w:trPr>
        <w:tc>
          <w:tcPr>
            <w:tcW w:w="1226"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b/>
                <w:color w:val="000000"/>
                <w:sz w:val="16"/>
              </w:rPr>
            </w:pPr>
            <w:r w:rsidRPr="006E2985">
              <w:rPr>
                <w:b/>
                <w:color w:val="000000"/>
                <w:sz w:val="16"/>
              </w:rPr>
              <w:t>BMI per 1 kg/m² increase</w:t>
            </w:r>
          </w:p>
        </w:tc>
        <w:tc>
          <w:tcPr>
            <w:tcW w:w="736"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β = 0.11</w:t>
            </w:r>
          </w:p>
        </w:tc>
        <w:tc>
          <w:tcPr>
            <w:tcW w:w="487"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0.05–0.17</w:t>
            </w:r>
          </w:p>
        </w:tc>
        <w:tc>
          <w:tcPr>
            <w:tcW w:w="370"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0.001</w:t>
            </w:r>
          </w:p>
        </w:tc>
        <w:tc>
          <w:tcPr>
            <w:tcW w:w="2182" w:type="pct"/>
            <w:tcBorders>
              <w:bottom w:val="single" w:sz="4" w:space="0" w:color="auto"/>
            </w:tcBorders>
            <w:shd w:val="clear" w:color="auto" w:fill="auto"/>
            <w:hideMark/>
          </w:tcPr>
          <w:p w:rsidR="006E2985" w:rsidRPr="006E2985" w:rsidRDefault="006E2985" w:rsidP="006E2985">
            <w:pPr>
              <w:pStyle w:val="Body"/>
              <w:spacing w:after="0" w:line="240" w:lineRule="auto"/>
              <w:jc w:val="left"/>
              <w:rPr>
                <w:color w:val="000000"/>
                <w:sz w:val="16"/>
              </w:rPr>
            </w:pPr>
            <w:r w:rsidRPr="006E2985">
              <w:rPr>
                <w:color w:val="000000"/>
                <w:sz w:val="16"/>
              </w:rPr>
              <w:t>Higher BMI associated with higher pain score</w:t>
            </w:r>
          </w:p>
        </w:tc>
      </w:tr>
    </w:tbl>
    <w:p w:rsidR="006E2985" w:rsidRPr="006E2985" w:rsidRDefault="006E2985" w:rsidP="006E2985">
      <w:pPr>
        <w:pStyle w:val="Body"/>
      </w:pPr>
      <w:r w:rsidRPr="006E2985">
        <w:t>Description of Tables</w:t>
      </w:r>
    </w:p>
    <w:p w:rsidR="006E2985" w:rsidRPr="006E2985" w:rsidRDefault="006E2985" w:rsidP="006E2985">
      <w:pPr>
        <w:pStyle w:val="Caption"/>
      </w:pPr>
      <w:r w:rsidRPr="006E2985">
        <w:t xml:space="preserve">Table 1 presents the baseline demographic and anthropometric characteristics of the study participants. A total of 178 individuals were enrolled, including 89 low back pain cases and 89 controls. The overall mean age was 43.8 ± 12.6 years, with no statistically significant age difference between cases and controls (p = 0.284). Female participants represented 61.8% of the study population, and although females were more common among low back pain cases (66.3%) than controls (57.3%), this association was not statistically significant (p = 0.218). The mean body mass index was significantly higher among low back pain cases compared with controls (31.1 ± 5.3 kg/m² </w:t>
      </w:r>
      <w:proofErr w:type="spellStart"/>
      <w:r w:rsidRPr="006E2985">
        <w:t>vs</w:t>
      </w:r>
      <w:proofErr w:type="spellEnd"/>
      <w:r w:rsidRPr="006E2985">
        <w:t xml:space="preserve"> 27.7 ± 4.4 kg/m², p = 0.001). Obesity was identified in 41.6% of cases compared with 27.0% of controls, demonstrating a statistically significant association with low back pain status (p = 0.041). Similarly, abdominal obesity was substantially more prevalent among cases than controls (70.8% </w:t>
      </w:r>
      <w:proofErr w:type="spellStart"/>
      <w:r w:rsidRPr="006E2985">
        <w:t>vs</w:t>
      </w:r>
      <w:proofErr w:type="spellEnd"/>
      <w:r w:rsidRPr="006E2985">
        <w:t xml:space="preserve"> 49.4%, p = 0.004). Waist circumference was also significantly greater among cases (101.4 ± 10.6 cm) than controls (92.2 ± 10.8 cm, p = 0.001). These findings suggest that both generalized and central obesity were more common among participants experiencing low back pain. </w:t>
      </w:r>
    </w:p>
    <w:p w:rsidR="006E2985" w:rsidRPr="006E2985" w:rsidRDefault="006E2985" w:rsidP="006E2985">
      <w:pPr>
        <w:pStyle w:val="Caption"/>
      </w:pPr>
      <w:r w:rsidRPr="006E2985">
        <w:t xml:space="preserve">Table 2 summarizes clinical comorbidities and lifestyle-related variables among study participants. Sedentary lifestyle was significantly more frequent among low back pain cases than controls (65.2% </w:t>
      </w:r>
      <w:proofErr w:type="spellStart"/>
      <w:r w:rsidRPr="006E2985">
        <w:t>vs</w:t>
      </w:r>
      <w:proofErr w:type="spellEnd"/>
      <w:r w:rsidRPr="006E2985">
        <w:t xml:space="preserve"> 42.7%, p = 0.003), while low physical activity was reported by 70.8% of cases compared with 42.7% of controls (p = 0.001). Occupational prolonged sitting was also significantly associated with low back pain, affecting 57.3% of cases and 37.1% of controls (p = 0.007). A previous history of low back pain was identified in more than half of the cases (55.1%) compared with 27.0% of controls, demonstrating a highly significant association (p = 0.001). Increased lumbar angle was observed in 51.7% of cases versus 25.8% of controls (p = 0.001), indicating a potential biomechanical contribution to low back pain. Although hypertension, diabetes mellitus, and smoking were more common among cases, these variables did not demonstrate statistically significant associations. Analgesic use in the previous month was significantly higher among low back pain cases (64.0%) than controls (23.6%, p = 0.001). These findings indicate that obesity-related behavioral and biomechanical factors may contribute substantially to low back pain burden. </w:t>
      </w:r>
    </w:p>
    <w:p w:rsidR="006E2985" w:rsidRPr="006E2985" w:rsidRDefault="006E2985" w:rsidP="006E2985">
      <w:pPr>
        <w:pStyle w:val="Caption"/>
      </w:pPr>
      <w:r w:rsidRPr="006E2985">
        <w:t xml:space="preserve">Table 3 illustrates the clinical outcomes observed among participants with low back pain. The mean pain score was 5.8 ± 2.1 on the numerical pain rating scale, reflecting moderate pain severity overall. The mean disability score was 31.6 ± 14.8, indicating clinically relevant functional impairment among affected individuals. Moderate-to-severe pain was reported in 32.6% of participants, while </w:t>
      </w:r>
      <w:r w:rsidRPr="006E2985">
        <w:lastRenderedPageBreak/>
        <w:t xml:space="preserve">functional limitation was present in 36.0%. Additionally, poor clinical outcome was identified in 34.3% of low back pain cases, suggesting that approximately one-third of affected participants experienced persistent or clinically significant impairment. These results demonstrate the substantial functional and symptomatic burden associated with low back pain within the rehabilitation population. </w:t>
      </w:r>
    </w:p>
    <w:p w:rsidR="006E2985" w:rsidRPr="006E2985" w:rsidRDefault="006E2985" w:rsidP="006E2985">
      <w:pPr>
        <w:pStyle w:val="Caption"/>
      </w:pPr>
      <w:r w:rsidRPr="006E2985">
        <w:t xml:space="preserve">Table 4 presents inferential analysis examining predictors of poor clinical outcomes among patients with low back pain. Obesity demonstrated a statistically significant association with poor outcome, increasing the odds by 39% (OR = 1.39, 95% CI: 1.12–1.73, p = 0.004). Abdominal obesity showed an even stronger association, with approximately two-fold increased odds of poor clinical outcome (OR = 2.08, 95% CI: 1.15–3.78, p = 0.016). Overweight BMI also showed a modest but statistically significant increase in risk (OR = 1.18, 95% CI: 1.02–1.37, p = 0.031). Increased lumbar angle was independently associated with poor outcome (OR = 1.04, 95% CI: 1.01–1.07, p = 0.022), suggesting that altered spinal biomechanics may worsen functional prognosis. Furthermore, each 1 kg/m² increase in body mass index was associated with a significant increase in pain score (β = 0.11, 95% CI: 0.05–0.17, p = 0.001). Although female sex and sedentary lifestyle demonstrated directionally elevated odds ratios, these associations did not achieve statistical significance. Overall, the inferential findings indicate that obesity-related anthropometric and biomechanical factors were major predictors of adverse clinical outcomes in low back pain patients attending </w:t>
      </w:r>
      <w:proofErr w:type="spellStart"/>
      <w:r w:rsidRPr="006E2985">
        <w:t>Riphah</w:t>
      </w:r>
      <w:proofErr w:type="spellEnd"/>
      <w:r w:rsidRPr="006E2985">
        <w:t xml:space="preserve"> Rehabilitation Center. </w:t>
      </w:r>
    </w:p>
    <w:p w:rsidR="006E2985" w:rsidRPr="006E2985" w:rsidRDefault="006E2985" w:rsidP="006E2985">
      <w:pPr>
        <w:pStyle w:val="Body"/>
        <w:jc w:val="center"/>
      </w:pPr>
      <w:r>
        <w:rPr>
          <w:noProof/>
        </w:rPr>
        <w:drawing>
          <wp:inline distT="0" distB="0" distL="0" distR="0">
            <wp:extent cx="4572000" cy="26899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tGPT Image Jun 4, 2026, 12_34_28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72000" cy="2689918"/>
                    </a:xfrm>
                    <a:prstGeom prst="rect">
                      <a:avLst/>
                    </a:prstGeom>
                  </pic:spPr>
                </pic:pic>
              </a:graphicData>
            </a:graphic>
          </wp:inline>
        </w:drawing>
      </w:r>
    </w:p>
    <w:p w:rsidR="006E2985" w:rsidRPr="006E2985" w:rsidRDefault="006E2985" w:rsidP="006E2985">
      <w:pPr>
        <w:pStyle w:val="Caption"/>
      </w:pPr>
      <w:r w:rsidRPr="006E2985">
        <w:t>Figure 1. Association of Obesity-Related Predictors with Poor Clinical Outcomes in Low Back Pain</w:t>
      </w:r>
    </w:p>
    <w:p w:rsidR="006E2985" w:rsidRPr="006E2985" w:rsidRDefault="006E2985" w:rsidP="006E2985">
      <w:pPr>
        <w:pStyle w:val="Body"/>
      </w:pPr>
      <w:r w:rsidRPr="006E2985">
        <w:t xml:space="preserve">The figure demonstrates the comparative strength and precision of obesity-related predictors associated with poor clinical outcomes among patients with low back pain. Abdominal obesity showed the strongest association, with an odds ratio of 2.08 (95% CI: 1.15–3.78), indicating approximately two-fold higher odds of adverse clinical outcomes compared with participants without abdominal obesity. General obesity also demonstrated a significant relationship with poor outcomes (OR = 1.39, 95% CI: 1.12–1.73), while overweight BMI was associated with modestly increased odds (OR = 1.18, 95% CI: 1.02–1.37). Increased lumbar angle showed a smaller but statistically significant effect (OR = 1.04, 95% CI: 1.01–1.07), suggesting a biomechanical contribution to symptom severity and disability. In contrast, female sex and sedentary lifestyle demonstrated elevated odds ratios but wider confidence intervals crossing the null reference value, indicating non-significant associations. Collectively, the visualization highlights that central adiposity exhibited the greatest clinical impact on low back pain outcomes among adults attending </w:t>
      </w:r>
      <w:proofErr w:type="spellStart"/>
      <w:r w:rsidRPr="006E2985">
        <w:t>Riphah</w:t>
      </w:r>
      <w:proofErr w:type="spellEnd"/>
      <w:r w:rsidRPr="006E2985">
        <w:t xml:space="preserve"> Rehabilitation Center. </w:t>
      </w:r>
    </w:p>
    <w:p w:rsidR="006E2985" w:rsidRPr="006E2985" w:rsidRDefault="006E2985" w:rsidP="006E2985">
      <w:pPr>
        <w:pStyle w:val="Heading1"/>
      </w:pPr>
      <w:r w:rsidRPr="006E2985">
        <w:t>Discussion</w:t>
      </w:r>
    </w:p>
    <w:p w:rsidR="006E2985" w:rsidRPr="006E2985" w:rsidRDefault="006E2985" w:rsidP="006E2985">
      <w:pPr>
        <w:pStyle w:val="Body"/>
      </w:pPr>
      <w:r w:rsidRPr="006E2985">
        <w:t xml:space="preserve">The present study evaluated the association between obesity and clinical outcomes of low back pain among adults attending </w:t>
      </w:r>
      <w:proofErr w:type="spellStart"/>
      <w:r w:rsidRPr="006E2985">
        <w:t>Riphah</w:t>
      </w:r>
      <w:proofErr w:type="spellEnd"/>
      <w:r w:rsidRPr="006E2985">
        <w:t xml:space="preserve"> Rehabilitation Center and demonstrated that obesity-related anthropometric and biomechanical factors were significantly associated with increased pain severity and poorer functional outcomes. Participants with low back pain exhibited significantly higher body mass index, greater waist circumference, and higher prevalence of abdominal obesity compared with controls. Furthermore, obesity, overweight status, abdominal obesity, and increased lumbar angle were identified as significant predictors of poor clinical outcomes. These findings support the hypothesis that excess body weight and altered body composition contribute substantially to the burden and progression of low back pain in rehabilitation populations. </w:t>
      </w:r>
    </w:p>
    <w:p w:rsidR="006E2985" w:rsidRPr="006E2985" w:rsidRDefault="006E2985" w:rsidP="006E2985">
      <w:pPr>
        <w:pStyle w:val="Body"/>
      </w:pPr>
      <w:r w:rsidRPr="006E2985">
        <w:t>The current study found that mean body mass index was significantly higher among low back pain cases compared with controls, and obesity was associated with a 39% increase in the odds of poor clinical outcomes. This finding is consistent with previous epidemiological evidence demonstrating that obesity is strongly associated with chronic low back pain, functional impairment, and increased disability (16</w:t>
      </w:r>
      <w:proofErr w:type="gramStart"/>
      <w:r w:rsidRPr="006E2985">
        <w:t>,17</w:t>
      </w:r>
      <w:proofErr w:type="gramEnd"/>
      <w:r w:rsidRPr="006E2985">
        <w:t xml:space="preserve">). Longitudinal evidence from the </w:t>
      </w:r>
      <w:r w:rsidRPr="006E2985">
        <w:lastRenderedPageBreak/>
        <w:t xml:space="preserve">HUNT study reported obesity as an independent predictor for persistent low back pain over time, suggesting that elevated body weight contributes not only to symptom onset but also to long-term progression and chronicity (18). Similarly, a systematic review conducted by </w:t>
      </w:r>
      <w:proofErr w:type="spellStart"/>
      <w:r w:rsidRPr="006E2985">
        <w:t>Peiris</w:t>
      </w:r>
      <w:proofErr w:type="spellEnd"/>
      <w:r w:rsidRPr="006E2985">
        <w:t xml:space="preserve"> et al. identified a positive relationship between adiposity and musculoskeletal pain conditions, including spinal pain disorders (19). The association observed in the present study may be explained by increased mechanical loading on the lumbar spine, accelerated intervertebral disc degeneration, altered spinal alignment, and chronic inflammatory activation associated with obesity.</w:t>
      </w:r>
    </w:p>
    <w:p w:rsidR="006E2985" w:rsidRPr="006E2985" w:rsidRDefault="006E2985" w:rsidP="006E2985">
      <w:pPr>
        <w:pStyle w:val="Body"/>
      </w:pPr>
      <w:r w:rsidRPr="006E2985">
        <w:t xml:space="preserve">Abdominal obesity demonstrated the strongest association with poor clinical outcomes, with approximately two-fold increased odds among affected participants. This finding highlights the important role of central adiposity in spinal biomechanics and low back pain pathophysiology. Increased abdominal fat distribution may shift the body’s center of gravity anteriorly, thereby increasing lumbar </w:t>
      </w:r>
      <w:proofErr w:type="spellStart"/>
      <w:r w:rsidRPr="006E2985">
        <w:t>lordosis</w:t>
      </w:r>
      <w:proofErr w:type="spellEnd"/>
      <w:r w:rsidRPr="006E2985">
        <w:t xml:space="preserve">, spinal compression forces, and postural instability (20). Previous investigations have similarly shown that abdominal adiposity contributes to increased lumbar curvature and substantially elevates the risk of low back pain (9). </w:t>
      </w:r>
      <w:proofErr w:type="spellStart"/>
      <w:r w:rsidRPr="006E2985">
        <w:t>Nahorna</w:t>
      </w:r>
      <w:proofErr w:type="spellEnd"/>
      <w:r w:rsidRPr="006E2985">
        <w:t xml:space="preserve"> and </w:t>
      </w:r>
      <w:proofErr w:type="spellStart"/>
      <w:r w:rsidRPr="006E2985">
        <w:t>Baur</w:t>
      </w:r>
      <w:proofErr w:type="spellEnd"/>
      <w:r w:rsidRPr="006E2985">
        <w:t xml:space="preserve"> further emphasized that abdominal obesity impairs activities of daily living by reducing balance control, mobility, and biomechanical efficiency in individuals with chronic low back pain (21). The present findings therefore suggest that waist circumference and central obesity measurements may provide stronger clinical prognostic value than generalized obesity alone.</w:t>
      </w:r>
    </w:p>
    <w:p w:rsidR="006E2985" w:rsidRPr="006E2985" w:rsidRDefault="006E2985" w:rsidP="006E2985">
      <w:pPr>
        <w:pStyle w:val="Body"/>
      </w:pPr>
      <w:r w:rsidRPr="006E2985">
        <w:t xml:space="preserve">The study additionally demonstrated that increased lumbar angle was independently associated with poor clinical outcomes. Altered lumbar biomechanics among obese individuals may increase stress on spinal ligaments, facet joints, </w:t>
      </w:r>
      <w:proofErr w:type="spellStart"/>
      <w:r w:rsidRPr="006E2985">
        <w:t>paraspinal</w:t>
      </w:r>
      <w:proofErr w:type="spellEnd"/>
      <w:r w:rsidRPr="006E2985">
        <w:t xml:space="preserve"> musculature, and intervertebral discs, thereby contributing to pain persistence and functional limitation. Arora and </w:t>
      </w:r>
      <w:proofErr w:type="spellStart"/>
      <w:r w:rsidRPr="006E2985">
        <w:t>Dey</w:t>
      </w:r>
      <w:proofErr w:type="spellEnd"/>
      <w:r w:rsidRPr="006E2985">
        <w:t xml:space="preserve"> reported that obesity-related biomechanical alterations significantly affect spinal kinematics and pelvic alignment, ultimately increasing susceptibility to chronic low back pain (2). Similar biomechanical mechanisms may explain the higher frequency of functional limitation and moderate-to-severe pain observed among participants in the present study. These findings reinforce the importance of integrating posture correction, core stabilization, and biomechanical rehabilitation strategies into obesity-related low back pain management programs.</w:t>
      </w:r>
    </w:p>
    <w:p w:rsidR="006E2985" w:rsidRPr="006E2985" w:rsidRDefault="006E2985" w:rsidP="006E2985">
      <w:pPr>
        <w:pStyle w:val="Body"/>
      </w:pPr>
      <w:r w:rsidRPr="006E2985">
        <w:t>Lifestyle-related variables including sedentary behavior, low physical activity, and prolonged occupational sitting were more prevalent among low back pain cases. Although sedentary lifestyle demonstrated directionally higher odds of poor clinical outcomes, statistical significance was not reached after regression analysis. Nevertheless, physical inactivity likely contributes indirectly to obesity progression, reduced muscular endurance, and impaired spinal support mechanisms (22). Previous literature has demonstrated that prolonged sitting and reduced physical activity increase spinal loading and muscular deconditioning, thereby worsening chronic low back pain symptoms (23). The higher prevalence of sedentary behaviors among low back pain cases in the present study supports the need for preventive rehabilitation strategies emphasizing physical activity promotion and ergonomic education.</w:t>
      </w:r>
    </w:p>
    <w:p w:rsidR="006E2985" w:rsidRPr="006E2985" w:rsidRDefault="006E2985" w:rsidP="006E2985">
      <w:pPr>
        <w:pStyle w:val="Body"/>
      </w:pPr>
      <w:r w:rsidRPr="006E2985">
        <w:t xml:space="preserve">The present study also identified a positive linear association between body mass index and pain score, indicating that increasing obesity severity was associated with greater pain intensity. This finding aligns with evidence suggesting that obesity contributes to both nociceptive and inflammatory pain pathways. Obesity-related inflammatory mediators including interleukin-6, tumor necrosis factor-alpha, and </w:t>
      </w:r>
      <w:proofErr w:type="spellStart"/>
      <w:r w:rsidRPr="006E2985">
        <w:t>leptin</w:t>
      </w:r>
      <w:proofErr w:type="spellEnd"/>
      <w:r w:rsidRPr="006E2985">
        <w:t xml:space="preserve"> have been implicated in pain sensitization and chronic musculoskeletal pain syndromes (24). Furthermore, psychosocial factors including pain catastrophizing, reduced self-efficacy, and </w:t>
      </w:r>
      <w:proofErr w:type="spellStart"/>
      <w:r w:rsidRPr="006E2985">
        <w:t>kinesiophobia</w:t>
      </w:r>
      <w:proofErr w:type="spellEnd"/>
      <w:r w:rsidRPr="006E2985">
        <w:t xml:space="preserve"> may amplify pain perception among obese individuals with chronic low back pain (25</w:t>
      </w:r>
      <w:proofErr w:type="gramStart"/>
      <w:r w:rsidRPr="006E2985">
        <w:t>,26</w:t>
      </w:r>
      <w:proofErr w:type="gramEnd"/>
      <w:r w:rsidRPr="006E2985">
        <w:t>). Therefore, obesity-related low back pain should be considered a multidimensional clinical condition requiring integrated physical, behavioral, and metabolic rehabilitation approaches.</w:t>
      </w:r>
    </w:p>
    <w:p w:rsidR="006E2985" w:rsidRPr="006E2985" w:rsidRDefault="006E2985" w:rsidP="006E2985">
      <w:pPr>
        <w:pStyle w:val="Body"/>
      </w:pPr>
      <w:r w:rsidRPr="006E2985">
        <w:t xml:space="preserve">The current study possesses several strengths. The case-control design enabled direct comparison between low back pain cases and controls while assessing multiple obesity-related predictors simultaneously. Inclusion of both generalized obesity and abdominal obesity provided a more comprehensive evaluation of adiposity-related risk factors. Additionally, the study assessed clinically meaningful outcomes including pain severity, disability, and functional limitation within a rehabilitation setting, increasing practical clinical relevance. However, several limitations should also be acknowledged. Due to the case-control design, causal relationships between obesity and low back pain cannot be definitively established. The study was conducted at a single rehabilitation center, which may limit generalizability to broader populations. Lifestyle-related variables were partially self-reported and therefore subject to recall bias. Moreover, advanced radiological or biochemical inflammatory assessments were not performed. Future multicenter longitudinal studies incorporating imaging findings, inflammatory biomarkers, </w:t>
      </w:r>
      <w:r w:rsidRPr="006E2985">
        <w:lastRenderedPageBreak/>
        <w:t>and long-term rehabilitation outcomes are recommended to further clarify the mechanistic relationship between obesity and chronic low back pain.</w:t>
      </w:r>
    </w:p>
    <w:p w:rsidR="006E2985" w:rsidRPr="006E2985" w:rsidRDefault="006E2985" w:rsidP="006E2985">
      <w:pPr>
        <w:pStyle w:val="Body"/>
      </w:pPr>
      <w:r w:rsidRPr="006E2985">
        <w:t>Overall, the findings of this study emphasize that obesity, particularly abdominal obesity, is strongly associated with adverse clinical outcomes among adults with low back pain attending rehabilitation services. These findings support the integration of weight-management interventions, biomechanical rehabilitation, postural correction, and physical activity promotion into comprehensive low back pain management programs. Early identification and targeted management of obesity-related risk factors may improve functional recovery and reduce the long-term burden of chronic low back pain within rehabilitation populations.</w:t>
      </w:r>
    </w:p>
    <w:p w:rsidR="006E2985" w:rsidRPr="006E2985" w:rsidRDefault="006E2985" w:rsidP="006E2985">
      <w:pPr>
        <w:pStyle w:val="Heading1"/>
      </w:pPr>
      <w:r w:rsidRPr="006E2985">
        <w:t>Conclusion</w:t>
      </w:r>
    </w:p>
    <w:p w:rsidR="006E2985" w:rsidRPr="006E2985" w:rsidRDefault="006E2985" w:rsidP="006E2985">
      <w:pPr>
        <w:pStyle w:val="Body"/>
      </w:pPr>
      <w:r w:rsidRPr="006E2985">
        <w:t xml:space="preserve">The present study demonstrated a significant association between obesity and adverse clinical outcomes among adults with low back pain attending </w:t>
      </w:r>
      <w:proofErr w:type="spellStart"/>
      <w:r w:rsidRPr="006E2985">
        <w:t>Riphah</w:t>
      </w:r>
      <w:proofErr w:type="spellEnd"/>
      <w:r w:rsidRPr="006E2985">
        <w:t xml:space="preserve"> Rehabilitation Center. Participants with higher body mass index, abdominal obesity, and increased lumbar angle exhibited greater pain severity, functional limitation, and poorer overall clinical outcomes. Abdominal obesity emerged as the strongest predictor, indicating the substantial influence of central adiposity on low back pain burden and rehabilitation prognosis. Additionally, sedentary lifestyle, prolonged occupational sitting, and low physical activity were more prevalent among individuals with low back pain, further emphasizing the multifactorial nature of the condition. These findings highlight the importance of integrating weight management, biomechanical correction, physical activity promotion, and rehabilitation-based interventions into comprehensive low back pain management strategies. Early identification and targeted treatment of obesity-related risk factors may contribute to improved pain control, enhanced functional recovery, and reduction of long-term disability among patients with chronic low back pain.</w:t>
      </w:r>
    </w:p>
    <w:p w:rsidR="006E2985" w:rsidRPr="006E2985" w:rsidRDefault="006E2985" w:rsidP="006E2985">
      <w:pPr>
        <w:pStyle w:val="Heading1"/>
      </w:pPr>
      <w:r w:rsidRPr="006E2985">
        <w:t>References</w:t>
      </w:r>
    </w:p>
    <w:p w:rsidR="006E2985" w:rsidRPr="006E2985" w:rsidRDefault="006E2985" w:rsidP="006E2985">
      <w:pPr>
        <w:pStyle w:val="Body"/>
        <w:numPr>
          <w:ilvl w:val="0"/>
          <w:numId w:val="18"/>
        </w:numPr>
      </w:pPr>
      <w:proofErr w:type="spellStart"/>
      <w:r w:rsidRPr="006E2985">
        <w:t>Ambrosio</w:t>
      </w:r>
      <w:proofErr w:type="spellEnd"/>
      <w:r w:rsidRPr="006E2985">
        <w:t xml:space="preserve"> L, </w:t>
      </w:r>
      <w:proofErr w:type="spellStart"/>
      <w:r w:rsidRPr="006E2985">
        <w:t>Mazzuca</w:t>
      </w:r>
      <w:proofErr w:type="spellEnd"/>
      <w:r w:rsidRPr="006E2985">
        <w:t xml:space="preserve"> G, </w:t>
      </w:r>
      <w:proofErr w:type="spellStart"/>
      <w:r w:rsidRPr="006E2985">
        <w:t>Maguolo</w:t>
      </w:r>
      <w:proofErr w:type="spellEnd"/>
      <w:r w:rsidRPr="006E2985">
        <w:t xml:space="preserve"> A, Russo F, </w:t>
      </w:r>
      <w:proofErr w:type="spellStart"/>
      <w:r w:rsidRPr="006E2985">
        <w:t>Cannata</w:t>
      </w:r>
      <w:proofErr w:type="spellEnd"/>
      <w:r w:rsidRPr="006E2985">
        <w:t xml:space="preserve"> F, </w:t>
      </w:r>
      <w:proofErr w:type="spellStart"/>
      <w:r w:rsidRPr="006E2985">
        <w:t>Vadalà</w:t>
      </w:r>
      <w:proofErr w:type="spellEnd"/>
      <w:r w:rsidRPr="006E2985">
        <w:t xml:space="preserve"> G, et al. The burden of low back pain in children and adolescents with overweight and obesity: from pathophysiology to prevention and treatment strategies. </w:t>
      </w:r>
      <w:proofErr w:type="spellStart"/>
      <w:r w:rsidRPr="006E2985">
        <w:t>Ther</w:t>
      </w:r>
      <w:proofErr w:type="spellEnd"/>
      <w:r w:rsidRPr="006E2985">
        <w:t xml:space="preserve"> </w:t>
      </w:r>
      <w:proofErr w:type="spellStart"/>
      <w:r w:rsidRPr="006E2985">
        <w:t>Adv</w:t>
      </w:r>
      <w:proofErr w:type="spellEnd"/>
      <w:r w:rsidRPr="006E2985">
        <w:t xml:space="preserve"> </w:t>
      </w:r>
      <w:proofErr w:type="spellStart"/>
      <w:r w:rsidRPr="006E2985">
        <w:t>Musculoskelet</w:t>
      </w:r>
      <w:proofErr w:type="spellEnd"/>
      <w:r w:rsidRPr="006E2985">
        <w:t xml:space="preserve"> Dis. 2023. </w:t>
      </w:r>
      <w:proofErr w:type="gramStart"/>
      <w:r w:rsidRPr="006E2985">
        <w:t>doi:</w:t>
      </w:r>
      <w:proofErr w:type="gramEnd"/>
      <w:r w:rsidRPr="006E2985">
        <w:t xml:space="preserve">10.1177/1759720X231188831. </w:t>
      </w:r>
    </w:p>
    <w:p w:rsidR="006E2985" w:rsidRPr="006E2985" w:rsidRDefault="006E2985" w:rsidP="006E2985">
      <w:pPr>
        <w:pStyle w:val="Body"/>
        <w:numPr>
          <w:ilvl w:val="0"/>
          <w:numId w:val="18"/>
        </w:numPr>
      </w:pPr>
      <w:r w:rsidRPr="006E2985">
        <w:t xml:space="preserve">Arora P, </w:t>
      </w:r>
      <w:proofErr w:type="spellStart"/>
      <w:r w:rsidRPr="006E2985">
        <w:t>Dey</w:t>
      </w:r>
      <w:proofErr w:type="spellEnd"/>
      <w:r w:rsidRPr="006E2985">
        <w:t xml:space="preserve"> S. The impact of obesity on spinal biomechanics and pelvic kinematics: a pathway to chronic low back pain. Indian J Pain. 2024. doi:10.4103/ijpn.ijpn_89_24. </w:t>
      </w:r>
    </w:p>
    <w:p w:rsidR="006E2985" w:rsidRPr="006E2985" w:rsidRDefault="006E2985" w:rsidP="006E2985">
      <w:pPr>
        <w:pStyle w:val="Body"/>
        <w:numPr>
          <w:ilvl w:val="0"/>
          <w:numId w:val="18"/>
        </w:numPr>
      </w:pPr>
      <w:proofErr w:type="spellStart"/>
      <w:r w:rsidRPr="006E2985">
        <w:t>Basem</w:t>
      </w:r>
      <w:proofErr w:type="spellEnd"/>
      <w:r w:rsidRPr="006E2985">
        <w:t xml:space="preserve"> JI, White RS, Chen S, </w:t>
      </w:r>
      <w:proofErr w:type="spellStart"/>
      <w:r w:rsidRPr="006E2985">
        <w:t>Mauer</w:t>
      </w:r>
      <w:proofErr w:type="spellEnd"/>
      <w:r w:rsidRPr="006E2985">
        <w:t xml:space="preserve"> E, </w:t>
      </w:r>
      <w:proofErr w:type="spellStart"/>
      <w:r w:rsidRPr="006E2985">
        <w:t>Steinkamp</w:t>
      </w:r>
      <w:proofErr w:type="spellEnd"/>
      <w:r w:rsidRPr="006E2985">
        <w:t xml:space="preserve"> ML, </w:t>
      </w:r>
      <w:proofErr w:type="spellStart"/>
      <w:r w:rsidRPr="006E2985">
        <w:t>Inturrisi</w:t>
      </w:r>
      <w:proofErr w:type="spellEnd"/>
      <w:r w:rsidRPr="006E2985">
        <w:t xml:space="preserve"> CE, </w:t>
      </w:r>
      <w:proofErr w:type="spellStart"/>
      <w:r w:rsidRPr="006E2985">
        <w:t>Witkin</w:t>
      </w:r>
      <w:proofErr w:type="spellEnd"/>
      <w:r w:rsidRPr="006E2985">
        <w:t xml:space="preserve"> LR. The effect of obesity on pain severity and pain interference. </w:t>
      </w:r>
      <w:proofErr w:type="spellStart"/>
      <w:proofErr w:type="gramStart"/>
      <w:r w:rsidRPr="006E2985">
        <w:t>medRxiv</w:t>
      </w:r>
      <w:proofErr w:type="spellEnd"/>
      <w:proofErr w:type="gramEnd"/>
      <w:r w:rsidRPr="006E2985">
        <w:t xml:space="preserve">. 2020. doi:10.1101/2020.03.02.20027425. </w:t>
      </w:r>
    </w:p>
    <w:p w:rsidR="006E2985" w:rsidRPr="006E2985" w:rsidRDefault="006E2985" w:rsidP="006E2985">
      <w:pPr>
        <w:pStyle w:val="Body"/>
        <w:numPr>
          <w:ilvl w:val="0"/>
          <w:numId w:val="18"/>
        </w:numPr>
      </w:pPr>
      <w:r w:rsidRPr="006E2985">
        <w:t xml:space="preserve">Chen LH, Weber K, </w:t>
      </w:r>
      <w:proofErr w:type="spellStart"/>
      <w:r w:rsidRPr="006E2985">
        <w:t>Mehrabkhani</w:t>
      </w:r>
      <w:proofErr w:type="spellEnd"/>
      <w:r w:rsidRPr="006E2985">
        <w:t xml:space="preserve"> S, </w:t>
      </w:r>
      <w:proofErr w:type="spellStart"/>
      <w:r w:rsidRPr="006E2985">
        <w:t>Baskaran</w:t>
      </w:r>
      <w:proofErr w:type="spellEnd"/>
      <w:r w:rsidRPr="006E2985">
        <w:t xml:space="preserve"> S, </w:t>
      </w:r>
      <w:proofErr w:type="spellStart"/>
      <w:r w:rsidRPr="006E2985">
        <w:t>Abbass</w:t>
      </w:r>
      <w:proofErr w:type="spellEnd"/>
      <w:r w:rsidRPr="006E2985">
        <w:t xml:space="preserve"> T, </w:t>
      </w:r>
      <w:proofErr w:type="spellStart"/>
      <w:r w:rsidRPr="006E2985">
        <w:t>Macedo</w:t>
      </w:r>
      <w:proofErr w:type="spellEnd"/>
      <w:r w:rsidRPr="006E2985">
        <w:t xml:space="preserve"> LG. The effectiveness of weight loss programs for low back pain: a systematic review. BMC </w:t>
      </w:r>
      <w:proofErr w:type="spellStart"/>
      <w:r w:rsidRPr="006E2985">
        <w:t>Musculoskelet</w:t>
      </w:r>
      <w:proofErr w:type="spellEnd"/>
      <w:r w:rsidRPr="006E2985">
        <w:t xml:space="preserve"> </w:t>
      </w:r>
      <w:proofErr w:type="spellStart"/>
      <w:r w:rsidRPr="006E2985">
        <w:t>Disord</w:t>
      </w:r>
      <w:proofErr w:type="spellEnd"/>
      <w:r w:rsidRPr="006E2985">
        <w:t>. 2022</w:t>
      </w:r>
      <w:proofErr w:type="gramStart"/>
      <w:r w:rsidRPr="006E2985">
        <w:t>;23</w:t>
      </w:r>
      <w:proofErr w:type="gramEnd"/>
      <w:r w:rsidRPr="006E2985">
        <w:t xml:space="preserve">(1). </w:t>
      </w:r>
      <w:proofErr w:type="gramStart"/>
      <w:r w:rsidRPr="006E2985">
        <w:t>doi:</w:t>
      </w:r>
      <w:proofErr w:type="gramEnd"/>
      <w:r w:rsidRPr="006E2985">
        <w:t xml:space="preserve">10.1186/s12891-022-05391-w. </w:t>
      </w:r>
    </w:p>
    <w:p w:rsidR="006E2985" w:rsidRPr="006E2985" w:rsidRDefault="006E2985" w:rsidP="006E2985">
      <w:pPr>
        <w:pStyle w:val="Body"/>
        <w:numPr>
          <w:ilvl w:val="0"/>
          <w:numId w:val="18"/>
        </w:numPr>
      </w:pPr>
      <w:r w:rsidRPr="006E2985">
        <w:t xml:space="preserve">Dekker </w:t>
      </w:r>
      <w:proofErr w:type="spellStart"/>
      <w:r w:rsidRPr="006E2985">
        <w:t>Nitert</w:t>
      </w:r>
      <w:proofErr w:type="spellEnd"/>
      <w:r w:rsidRPr="006E2985">
        <w:t xml:space="preserve"> M, </w:t>
      </w:r>
      <w:proofErr w:type="spellStart"/>
      <w:r w:rsidRPr="006E2985">
        <w:t>Mousa</w:t>
      </w:r>
      <w:proofErr w:type="spellEnd"/>
      <w:r w:rsidRPr="006E2985">
        <w:t xml:space="preserve"> A, Barrett HL, </w:t>
      </w:r>
      <w:proofErr w:type="spellStart"/>
      <w:r w:rsidRPr="006E2985">
        <w:t>Naderpoor</w:t>
      </w:r>
      <w:proofErr w:type="spellEnd"/>
      <w:r w:rsidRPr="006E2985">
        <w:t xml:space="preserve"> N, de </w:t>
      </w:r>
      <w:proofErr w:type="spellStart"/>
      <w:r w:rsidRPr="006E2985">
        <w:t>Courten</w:t>
      </w:r>
      <w:proofErr w:type="spellEnd"/>
      <w:r w:rsidRPr="006E2985">
        <w:t xml:space="preserve"> B. Altered gut </w:t>
      </w:r>
      <w:proofErr w:type="spellStart"/>
      <w:r w:rsidRPr="006E2985">
        <w:t>microbiota</w:t>
      </w:r>
      <w:proofErr w:type="spellEnd"/>
      <w:r w:rsidRPr="006E2985">
        <w:t xml:space="preserve"> composition is associated with back pain in overweight and obese individuals. Front </w:t>
      </w:r>
      <w:proofErr w:type="spellStart"/>
      <w:r w:rsidRPr="006E2985">
        <w:t>Endocrinol</w:t>
      </w:r>
      <w:proofErr w:type="spellEnd"/>
      <w:r w:rsidRPr="006E2985">
        <w:t>. 2020</w:t>
      </w:r>
      <w:proofErr w:type="gramStart"/>
      <w:r w:rsidRPr="006E2985">
        <w:t>;11</w:t>
      </w:r>
      <w:proofErr w:type="gramEnd"/>
      <w:r w:rsidRPr="006E2985">
        <w:t xml:space="preserve">. doi:10.3389/fendo.2020.00605. </w:t>
      </w:r>
    </w:p>
    <w:p w:rsidR="006E2985" w:rsidRPr="006E2985" w:rsidRDefault="006E2985" w:rsidP="006E2985">
      <w:pPr>
        <w:pStyle w:val="Body"/>
        <w:numPr>
          <w:ilvl w:val="0"/>
          <w:numId w:val="18"/>
        </w:numPr>
      </w:pPr>
      <w:proofErr w:type="spellStart"/>
      <w:r w:rsidRPr="006E2985">
        <w:t>García</w:t>
      </w:r>
      <w:proofErr w:type="spellEnd"/>
      <w:r w:rsidRPr="006E2985">
        <w:t xml:space="preserve">-Moreno JM, </w:t>
      </w:r>
      <w:proofErr w:type="spellStart"/>
      <w:r w:rsidRPr="006E2985">
        <w:t>Calvo</w:t>
      </w:r>
      <w:proofErr w:type="spellEnd"/>
      <w:r w:rsidRPr="006E2985">
        <w:t>-Muñoz I, Gómez-</w:t>
      </w:r>
      <w:proofErr w:type="spellStart"/>
      <w:r w:rsidRPr="006E2985">
        <w:t>Conesa</w:t>
      </w:r>
      <w:proofErr w:type="spellEnd"/>
      <w:r w:rsidRPr="006E2985">
        <w:t xml:space="preserve"> A, </w:t>
      </w:r>
      <w:proofErr w:type="spellStart"/>
      <w:r w:rsidRPr="006E2985">
        <w:t>López-López</w:t>
      </w:r>
      <w:proofErr w:type="spellEnd"/>
      <w:r w:rsidRPr="006E2985">
        <w:t xml:space="preserve"> JA. Obesity and overweight as risk factors for low back pain in children and adolescents: a meta-analysis. </w:t>
      </w:r>
      <w:proofErr w:type="spellStart"/>
      <w:r w:rsidRPr="006E2985">
        <w:t>Int</w:t>
      </w:r>
      <w:proofErr w:type="spellEnd"/>
      <w:r w:rsidRPr="006E2985">
        <w:t xml:space="preserve"> J </w:t>
      </w:r>
      <w:proofErr w:type="spellStart"/>
      <w:r w:rsidRPr="006E2985">
        <w:t>Obes</w:t>
      </w:r>
      <w:proofErr w:type="spellEnd"/>
      <w:r w:rsidRPr="006E2985">
        <w:t xml:space="preserve">. 2024. </w:t>
      </w:r>
      <w:proofErr w:type="gramStart"/>
      <w:r w:rsidRPr="006E2985">
        <w:t>doi:</w:t>
      </w:r>
      <w:proofErr w:type="gramEnd"/>
      <w:r w:rsidRPr="006E2985">
        <w:t xml:space="preserve">10.1038/s41366-024-01475-w. </w:t>
      </w:r>
    </w:p>
    <w:p w:rsidR="006E2985" w:rsidRPr="006E2985" w:rsidRDefault="006E2985" w:rsidP="006E2985">
      <w:pPr>
        <w:pStyle w:val="Body"/>
        <w:numPr>
          <w:ilvl w:val="0"/>
          <w:numId w:val="18"/>
        </w:numPr>
      </w:pPr>
      <w:r w:rsidRPr="006E2985">
        <w:t xml:space="preserve">Gun B, </w:t>
      </w:r>
      <w:proofErr w:type="spellStart"/>
      <w:r w:rsidRPr="006E2985">
        <w:t>Banaag</w:t>
      </w:r>
      <w:proofErr w:type="spellEnd"/>
      <w:r w:rsidRPr="006E2985">
        <w:t xml:space="preserve"> A, Khan M, </w:t>
      </w:r>
      <w:proofErr w:type="spellStart"/>
      <w:r w:rsidRPr="006E2985">
        <w:t>Koehlmoos</w:t>
      </w:r>
      <w:proofErr w:type="spellEnd"/>
      <w:r w:rsidRPr="006E2985">
        <w:t xml:space="preserve"> T. Prevalence and risk factors for musculoskeletal back injury among U.S. Army personnel. Mil Med. 2021. doi:10.1093/</w:t>
      </w:r>
      <w:proofErr w:type="spellStart"/>
      <w:r w:rsidRPr="006E2985">
        <w:t>milmed</w:t>
      </w:r>
      <w:proofErr w:type="spellEnd"/>
      <w:r w:rsidRPr="006E2985">
        <w:t xml:space="preserve">/usab217. </w:t>
      </w:r>
    </w:p>
    <w:p w:rsidR="006E2985" w:rsidRPr="006E2985" w:rsidRDefault="006E2985" w:rsidP="006E2985">
      <w:pPr>
        <w:pStyle w:val="Body"/>
        <w:numPr>
          <w:ilvl w:val="0"/>
          <w:numId w:val="18"/>
        </w:numPr>
      </w:pPr>
      <w:proofErr w:type="spellStart"/>
      <w:r w:rsidRPr="006E2985">
        <w:t>Heuch</w:t>
      </w:r>
      <w:proofErr w:type="spellEnd"/>
      <w:r w:rsidRPr="006E2985">
        <w:t xml:space="preserve"> I, </w:t>
      </w:r>
      <w:proofErr w:type="spellStart"/>
      <w:r w:rsidRPr="006E2985">
        <w:t>Heuch</w:t>
      </w:r>
      <w:proofErr w:type="spellEnd"/>
      <w:r w:rsidRPr="006E2985">
        <w:t xml:space="preserve"> I, Hagen K, </w:t>
      </w:r>
      <w:proofErr w:type="spellStart"/>
      <w:r w:rsidRPr="006E2985">
        <w:t>Zwart</w:t>
      </w:r>
      <w:proofErr w:type="spellEnd"/>
      <w:r w:rsidRPr="006E2985">
        <w:t xml:space="preserve"> JA. Overweight and obesity as risk factors for chronic low back pain: a new follow-up in the HUNT Study. BMC Public Health. 2024. </w:t>
      </w:r>
      <w:proofErr w:type="gramStart"/>
      <w:r w:rsidRPr="006E2985">
        <w:t>doi:</w:t>
      </w:r>
      <w:proofErr w:type="gramEnd"/>
      <w:r w:rsidRPr="006E2985">
        <w:t xml:space="preserve">10.1186/s12889-024-20011-z. </w:t>
      </w:r>
    </w:p>
    <w:p w:rsidR="006E2985" w:rsidRPr="006E2985" w:rsidRDefault="006E2985" w:rsidP="006E2985">
      <w:pPr>
        <w:pStyle w:val="Body"/>
        <w:numPr>
          <w:ilvl w:val="0"/>
          <w:numId w:val="18"/>
        </w:numPr>
      </w:pPr>
      <w:proofErr w:type="spellStart"/>
      <w:r w:rsidRPr="006E2985">
        <w:t>Koremans</w:t>
      </w:r>
      <w:proofErr w:type="spellEnd"/>
      <w:r w:rsidRPr="006E2985">
        <w:t xml:space="preserve"> FW, Chen X, Das A, </w:t>
      </w:r>
      <w:proofErr w:type="spellStart"/>
      <w:proofErr w:type="gramStart"/>
      <w:r w:rsidRPr="006E2985">
        <w:t>Diwan</w:t>
      </w:r>
      <w:proofErr w:type="spellEnd"/>
      <w:proofErr w:type="gramEnd"/>
      <w:r w:rsidRPr="006E2985">
        <w:t xml:space="preserve"> A. Changes in back pain scores after bariatric surgery in obese patients: a systematic review and meta-analysis. J </w:t>
      </w:r>
      <w:proofErr w:type="spellStart"/>
      <w:r w:rsidRPr="006E2985">
        <w:t>Clin</w:t>
      </w:r>
      <w:proofErr w:type="spellEnd"/>
      <w:r w:rsidRPr="006E2985">
        <w:t xml:space="preserve"> Med. 2020</w:t>
      </w:r>
      <w:proofErr w:type="gramStart"/>
      <w:r w:rsidRPr="006E2985">
        <w:t>;10</w:t>
      </w:r>
      <w:proofErr w:type="gramEnd"/>
      <w:r w:rsidRPr="006E2985">
        <w:t xml:space="preserve">(7):1443. </w:t>
      </w:r>
      <w:proofErr w:type="gramStart"/>
      <w:r w:rsidRPr="006E2985">
        <w:t>doi:</w:t>
      </w:r>
      <w:proofErr w:type="gramEnd"/>
      <w:r w:rsidRPr="006E2985">
        <w:t xml:space="preserve">10.3390/jcm10071443. </w:t>
      </w:r>
    </w:p>
    <w:p w:rsidR="006E2985" w:rsidRPr="006E2985" w:rsidRDefault="006E2985" w:rsidP="006E2985">
      <w:pPr>
        <w:pStyle w:val="Body"/>
        <w:numPr>
          <w:ilvl w:val="0"/>
          <w:numId w:val="18"/>
        </w:numPr>
      </w:pPr>
      <w:proofErr w:type="spellStart"/>
      <w:r w:rsidRPr="006E2985">
        <w:t>Lucha-López</w:t>
      </w:r>
      <w:proofErr w:type="spellEnd"/>
      <w:r w:rsidRPr="006E2985">
        <w:t xml:space="preserve"> MO, Hidalgo-</w:t>
      </w:r>
      <w:proofErr w:type="spellStart"/>
      <w:r w:rsidRPr="006E2985">
        <w:t>García</w:t>
      </w:r>
      <w:proofErr w:type="spellEnd"/>
      <w:r w:rsidRPr="006E2985">
        <w:t xml:space="preserve"> C, </w:t>
      </w:r>
      <w:proofErr w:type="spellStart"/>
      <w:r w:rsidRPr="006E2985">
        <w:t>Monti-Ballano</w:t>
      </w:r>
      <w:proofErr w:type="spellEnd"/>
      <w:r w:rsidRPr="006E2985">
        <w:t xml:space="preserve"> S, </w:t>
      </w:r>
      <w:proofErr w:type="spellStart"/>
      <w:r w:rsidRPr="006E2985">
        <w:t>Márquez-Gonzalvo</w:t>
      </w:r>
      <w:proofErr w:type="spellEnd"/>
      <w:r w:rsidRPr="006E2985">
        <w:t xml:space="preserve"> S, </w:t>
      </w:r>
      <w:proofErr w:type="spellStart"/>
      <w:r w:rsidRPr="006E2985">
        <w:t>Ferrández-Laliena</w:t>
      </w:r>
      <w:proofErr w:type="spellEnd"/>
      <w:r w:rsidRPr="006E2985">
        <w:t xml:space="preserve"> L, Müller-</w:t>
      </w:r>
      <w:proofErr w:type="spellStart"/>
      <w:r w:rsidRPr="006E2985">
        <w:t>Thyssen</w:t>
      </w:r>
      <w:proofErr w:type="spellEnd"/>
      <w:r w:rsidRPr="006E2985">
        <w:t>-</w:t>
      </w:r>
      <w:proofErr w:type="spellStart"/>
      <w:r w:rsidRPr="006E2985">
        <w:t>Uriarte</w:t>
      </w:r>
      <w:proofErr w:type="spellEnd"/>
      <w:r w:rsidRPr="006E2985">
        <w:t xml:space="preserve"> J, et al. Body mass index and its influence on chronic low back pain in the </w:t>
      </w:r>
      <w:r w:rsidRPr="006E2985">
        <w:lastRenderedPageBreak/>
        <w:t>Spanish population: a secondary analysis from the European Health Survey 2020. Biomedicines. 2023</w:t>
      </w:r>
      <w:proofErr w:type="gramStart"/>
      <w:r w:rsidRPr="006E2985">
        <w:t>;11</w:t>
      </w:r>
      <w:proofErr w:type="gramEnd"/>
      <w:r w:rsidRPr="006E2985">
        <w:t xml:space="preserve">(8):2175. </w:t>
      </w:r>
      <w:proofErr w:type="gramStart"/>
      <w:r w:rsidRPr="006E2985">
        <w:t>doi:</w:t>
      </w:r>
      <w:proofErr w:type="gramEnd"/>
      <w:r w:rsidRPr="006E2985">
        <w:t xml:space="preserve">10.3390/biomedicines11082175. </w:t>
      </w:r>
    </w:p>
    <w:p w:rsidR="006E2985" w:rsidRPr="006E2985" w:rsidRDefault="006E2985" w:rsidP="006E2985">
      <w:pPr>
        <w:pStyle w:val="Body"/>
        <w:numPr>
          <w:ilvl w:val="0"/>
          <w:numId w:val="18"/>
        </w:numPr>
      </w:pPr>
      <w:proofErr w:type="spellStart"/>
      <w:r w:rsidRPr="006E2985">
        <w:t>Nahorna</w:t>
      </w:r>
      <w:proofErr w:type="spellEnd"/>
      <w:r w:rsidRPr="006E2985">
        <w:t xml:space="preserve"> A, </w:t>
      </w:r>
      <w:proofErr w:type="spellStart"/>
      <w:r w:rsidRPr="006E2985">
        <w:t>Baur</w:t>
      </w:r>
      <w:proofErr w:type="spellEnd"/>
      <w:r w:rsidRPr="006E2985">
        <w:t xml:space="preserve"> H. The relevance of identifying the biomechanical and functional effects of abdominal obesity on activities of daily living in individuals with low back pain. </w:t>
      </w:r>
      <w:proofErr w:type="spellStart"/>
      <w:r w:rsidRPr="006E2985">
        <w:t>Curr</w:t>
      </w:r>
      <w:proofErr w:type="spellEnd"/>
      <w:r w:rsidRPr="006E2985">
        <w:t xml:space="preserve"> Issues Sport Sci. 2023. doi:10.36950/2023.2ciss067. </w:t>
      </w:r>
    </w:p>
    <w:p w:rsidR="006E2985" w:rsidRPr="006E2985" w:rsidRDefault="006E2985" w:rsidP="006E2985">
      <w:pPr>
        <w:pStyle w:val="Body"/>
        <w:numPr>
          <w:ilvl w:val="0"/>
          <w:numId w:val="18"/>
        </w:numPr>
      </w:pPr>
      <w:proofErr w:type="spellStart"/>
      <w:r w:rsidRPr="006E2985">
        <w:t>Peiris</w:t>
      </w:r>
      <w:proofErr w:type="spellEnd"/>
      <w:r w:rsidRPr="006E2985">
        <w:t xml:space="preserve"> W, </w:t>
      </w:r>
      <w:proofErr w:type="spellStart"/>
      <w:r w:rsidRPr="006E2985">
        <w:t>Cicuttini</w:t>
      </w:r>
      <w:proofErr w:type="spellEnd"/>
      <w:r w:rsidRPr="006E2985">
        <w:t xml:space="preserve"> F, </w:t>
      </w:r>
      <w:proofErr w:type="spellStart"/>
      <w:r w:rsidRPr="006E2985">
        <w:t>Hussain</w:t>
      </w:r>
      <w:proofErr w:type="spellEnd"/>
      <w:r w:rsidRPr="006E2985">
        <w:t xml:space="preserve"> S, Estee M, Romero L, Ranger T, et al. Is adiposity associated with back and lower limb pain? A systematic review. </w:t>
      </w:r>
      <w:proofErr w:type="spellStart"/>
      <w:r w:rsidRPr="006E2985">
        <w:t>PLoS</w:t>
      </w:r>
      <w:proofErr w:type="spellEnd"/>
      <w:r w:rsidRPr="006E2985">
        <w:t xml:space="preserve"> One. 2021</w:t>
      </w:r>
      <w:proofErr w:type="gramStart"/>
      <w:r w:rsidRPr="006E2985">
        <w:t>;16</w:t>
      </w:r>
      <w:proofErr w:type="gramEnd"/>
      <w:r w:rsidRPr="006E2985">
        <w:t xml:space="preserve">(8):e0256720. doi:10.1371/journal.pone.0256720. </w:t>
      </w:r>
    </w:p>
    <w:p w:rsidR="006E2985" w:rsidRPr="006E2985" w:rsidRDefault="006E2985" w:rsidP="006E2985">
      <w:pPr>
        <w:pStyle w:val="Body"/>
        <w:numPr>
          <w:ilvl w:val="0"/>
          <w:numId w:val="18"/>
        </w:numPr>
      </w:pPr>
      <w:r w:rsidRPr="006E2985">
        <w:t xml:space="preserve">Rosa S, Martins D, Martins M, </w:t>
      </w:r>
      <w:proofErr w:type="spellStart"/>
      <w:r w:rsidRPr="006E2985">
        <w:t>Guimarães</w:t>
      </w:r>
      <w:proofErr w:type="spellEnd"/>
      <w:r w:rsidRPr="006E2985">
        <w:t xml:space="preserve"> B, Cabral L, </w:t>
      </w:r>
      <w:proofErr w:type="spellStart"/>
      <w:r w:rsidRPr="006E2985">
        <w:t>Horta</w:t>
      </w:r>
      <w:proofErr w:type="spellEnd"/>
      <w:r w:rsidRPr="006E2985">
        <w:t xml:space="preserve"> L. Body mass index and musculoskeletal pain: a cross-sectional study. </w:t>
      </w:r>
      <w:proofErr w:type="spellStart"/>
      <w:r w:rsidRPr="006E2985">
        <w:t>Cureus</w:t>
      </w:r>
      <w:proofErr w:type="spellEnd"/>
      <w:r w:rsidRPr="006E2985">
        <w:t xml:space="preserve">. 2021. doi:10.7759/cureus.13400. </w:t>
      </w:r>
    </w:p>
    <w:p w:rsidR="006E2985" w:rsidRPr="006E2985" w:rsidRDefault="006E2985" w:rsidP="006E2985">
      <w:pPr>
        <w:pStyle w:val="Body"/>
        <w:numPr>
          <w:ilvl w:val="0"/>
          <w:numId w:val="18"/>
        </w:numPr>
      </w:pPr>
      <w:r w:rsidRPr="006E2985">
        <w:t>Ruiz-</w:t>
      </w:r>
      <w:proofErr w:type="spellStart"/>
      <w:r w:rsidRPr="006E2985">
        <w:t>Fernández</w:t>
      </w:r>
      <w:proofErr w:type="spellEnd"/>
      <w:r w:rsidRPr="006E2985">
        <w:t xml:space="preserve"> C, </w:t>
      </w:r>
      <w:proofErr w:type="spellStart"/>
      <w:r w:rsidRPr="006E2985">
        <w:t>Schol</w:t>
      </w:r>
      <w:proofErr w:type="spellEnd"/>
      <w:r w:rsidRPr="006E2985">
        <w:t xml:space="preserve"> J, </w:t>
      </w:r>
      <w:proofErr w:type="spellStart"/>
      <w:r w:rsidRPr="006E2985">
        <w:t>Ambrosio</w:t>
      </w:r>
      <w:proofErr w:type="spellEnd"/>
      <w:r w:rsidRPr="006E2985">
        <w:t xml:space="preserve"> L, Sakai D. The vicious cycle of obesity and low back pain: a comprehensive review. </w:t>
      </w:r>
      <w:proofErr w:type="spellStart"/>
      <w:r w:rsidRPr="006E2985">
        <w:t>Appl</w:t>
      </w:r>
      <w:proofErr w:type="spellEnd"/>
      <w:r w:rsidRPr="006E2985">
        <w:t xml:space="preserve"> Sci. 2025. </w:t>
      </w:r>
      <w:proofErr w:type="gramStart"/>
      <w:r w:rsidRPr="006E2985">
        <w:t>doi:</w:t>
      </w:r>
      <w:proofErr w:type="gramEnd"/>
      <w:r w:rsidRPr="006E2985">
        <w:t xml:space="preserve">10.3390/app15126660. </w:t>
      </w:r>
    </w:p>
    <w:p w:rsidR="006E2985" w:rsidRPr="006E2985" w:rsidRDefault="006E2985" w:rsidP="006E2985">
      <w:pPr>
        <w:pStyle w:val="Body"/>
        <w:numPr>
          <w:ilvl w:val="0"/>
          <w:numId w:val="18"/>
        </w:numPr>
      </w:pPr>
      <w:proofErr w:type="spellStart"/>
      <w:r w:rsidRPr="006E2985">
        <w:t>Saludes</w:t>
      </w:r>
      <w:proofErr w:type="spellEnd"/>
      <w:r w:rsidRPr="006E2985">
        <w:t xml:space="preserve"> R, Acevedo P, </w:t>
      </w:r>
      <w:proofErr w:type="spellStart"/>
      <w:r w:rsidRPr="006E2985">
        <w:t>García</w:t>
      </w:r>
      <w:proofErr w:type="spellEnd"/>
      <w:r w:rsidRPr="006E2985">
        <w:t xml:space="preserve"> I, </w:t>
      </w:r>
      <w:proofErr w:type="spellStart"/>
      <w:r w:rsidRPr="006E2985">
        <w:t>Carrión</w:t>
      </w:r>
      <w:proofErr w:type="spellEnd"/>
      <w:r w:rsidRPr="006E2985">
        <w:t xml:space="preserve"> ÁG, </w:t>
      </w:r>
      <w:proofErr w:type="spellStart"/>
      <w:r w:rsidRPr="006E2985">
        <w:t>Sebastián</w:t>
      </w:r>
      <w:proofErr w:type="spellEnd"/>
      <w:r w:rsidRPr="006E2985">
        <w:t xml:space="preserve"> CM, </w:t>
      </w:r>
      <w:proofErr w:type="spellStart"/>
      <w:r w:rsidRPr="006E2985">
        <w:t>Fernández</w:t>
      </w:r>
      <w:proofErr w:type="spellEnd"/>
      <w:r w:rsidRPr="006E2985">
        <w:t xml:space="preserve"> AN, et al. Abdominal adiposity increases </w:t>
      </w:r>
      <w:proofErr w:type="spellStart"/>
      <w:r w:rsidRPr="006E2985">
        <w:t>lordosis</w:t>
      </w:r>
      <w:proofErr w:type="spellEnd"/>
      <w:r w:rsidRPr="006E2985">
        <w:t xml:space="preserve"> and doubles the risk of low back pain. </w:t>
      </w:r>
      <w:proofErr w:type="spellStart"/>
      <w:r w:rsidRPr="006E2985">
        <w:t>Appl</w:t>
      </w:r>
      <w:proofErr w:type="spellEnd"/>
      <w:r w:rsidRPr="006E2985">
        <w:t xml:space="preserve"> Sci. 2022. </w:t>
      </w:r>
      <w:proofErr w:type="gramStart"/>
      <w:r w:rsidRPr="006E2985">
        <w:t>doi:</w:t>
      </w:r>
      <w:proofErr w:type="gramEnd"/>
      <w:r w:rsidRPr="006E2985">
        <w:t xml:space="preserve">10.3390/app12157616. </w:t>
      </w:r>
    </w:p>
    <w:p w:rsidR="006E2985" w:rsidRPr="006E2985" w:rsidRDefault="006E2985" w:rsidP="006E2985">
      <w:pPr>
        <w:pStyle w:val="Body"/>
        <w:numPr>
          <w:ilvl w:val="0"/>
          <w:numId w:val="18"/>
        </w:numPr>
      </w:pPr>
      <w:r w:rsidRPr="006E2985">
        <w:t xml:space="preserve">Siddiqui A, </w:t>
      </w:r>
      <w:proofErr w:type="spellStart"/>
      <w:r w:rsidRPr="006E2985">
        <w:t>Javed</w:t>
      </w:r>
      <w:proofErr w:type="spellEnd"/>
      <w:r w:rsidRPr="006E2985">
        <w:t xml:space="preserve"> S, </w:t>
      </w:r>
      <w:proofErr w:type="spellStart"/>
      <w:r w:rsidRPr="006E2985">
        <w:t>Abbasi</w:t>
      </w:r>
      <w:proofErr w:type="spellEnd"/>
      <w:r w:rsidRPr="006E2985">
        <w:t xml:space="preserve"> S, </w:t>
      </w:r>
      <w:proofErr w:type="spellStart"/>
      <w:r w:rsidRPr="006E2985">
        <w:t>Baig</w:t>
      </w:r>
      <w:proofErr w:type="spellEnd"/>
      <w:r w:rsidRPr="006E2985">
        <w:t xml:space="preserve"> T, </w:t>
      </w:r>
      <w:proofErr w:type="spellStart"/>
      <w:r w:rsidRPr="006E2985">
        <w:t>Afshan</w:t>
      </w:r>
      <w:proofErr w:type="spellEnd"/>
      <w:r w:rsidRPr="006E2985">
        <w:t xml:space="preserve"> G. Association between low back pain and body mass index in Pakistani population: analysis of the software bank data. </w:t>
      </w:r>
      <w:proofErr w:type="spellStart"/>
      <w:r w:rsidRPr="006E2985">
        <w:t>Cureus</w:t>
      </w:r>
      <w:proofErr w:type="spellEnd"/>
      <w:r w:rsidRPr="006E2985">
        <w:t xml:space="preserve">. 2022. doi:10.7759/cureus.23645. </w:t>
      </w:r>
    </w:p>
    <w:p w:rsidR="006E2985" w:rsidRPr="006E2985" w:rsidRDefault="006E2985" w:rsidP="006E2985">
      <w:pPr>
        <w:pStyle w:val="Body"/>
        <w:numPr>
          <w:ilvl w:val="0"/>
          <w:numId w:val="18"/>
        </w:numPr>
      </w:pPr>
      <w:r w:rsidRPr="006E2985">
        <w:t xml:space="preserve">Stokes </w:t>
      </w:r>
      <w:proofErr w:type="gramStart"/>
      <w:r w:rsidRPr="006E2985">
        <w:t>A</w:t>
      </w:r>
      <w:proofErr w:type="gramEnd"/>
      <w:r w:rsidRPr="006E2985">
        <w:t xml:space="preserve">, Lundberg DJ, Sheridan B, Hempstead K, </w:t>
      </w:r>
      <w:proofErr w:type="spellStart"/>
      <w:r w:rsidRPr="006E2985">
        <w:t>Morone</w:t>
      </w:r>
      <w:proofErr w:type="spellEnd"/>
      <w:r w:rsidRPr="006E2985">
        <w:t xml:space="preserve"> NE, </w:t>
      </w:r>
      <w:proofErr w:type="spellStart"/>
      <w:r w:rsidRPr="006E2985">
        <w:t>Lasser</w:t>
      </w:r>
      <w:proofErr w:type="spellEnd"/>
      <w:r w:rsidRPr="006E2985">
        <w:t xml:space="preserve"> K, et al. Association of obesity with prescription opioids for painful conditions in patients seeking primary care in the US. JAMA </w:t>
      </w:r>
      <w:proofErr w:type="spellStart"/>
      <w:r w:rsidRPr="006E2985">
        <w:t>Netw</w:t>
      </w:r>
      <w:proofErr w:type="spellEnd"/>
      <w:r w:rsidRPr="006E2985">
        <w:t xml:space="preserve"> Open. 2020. doi:10.1001/jamanetworkopen.2020.2012. </w:t>
      </w:r>
    </w:p>
    <w:p w:rsidR="006E2985" w:rsidRPr="006E2985" w:rsidRDefault="006E2985" w:rsidP="006E2985">
      <w:pPr>
        <w:pStyle w:val="Body"/>
        <w:numPr>
          <w:ilvl w:val="0"/>
          <w:numId w:val="18"/>
        </w:numPr>
      </w:pPr>
      <w:proofErr w:type="spellStart"/>
      <w:r w:rsidRPr="006E2985">
        <w:t>Varallo</w:t>
      </w:r>
      <w:proofErr w:type="spellEnd"/>
      <w:r w:rsidRPr="006E2985">
        <w:t xml:space="preserve"> G, </w:t>
      </w:r>
      <w:proofErr w:type="spellStart"/>
      <w:r w:rsidRPr="006E2985">
        <w:t>Giusti</w:t>
      </w:r>
      <w:proofErr w:type="spellEnd"/>
      <w:r w:rsidRPr="006E2985">
        <w:t xml:space="preserve"> E, </w:t>
      </w:r>
      <w:proofErr w:type="spellStart"/>
      <w:r w:rsidRPr="006E2985">
        <w:t>Scarpina</w:t>
      </w:r>
      <w:proofErr w:type="spellEnd"/>
      <w:r w:rsidRPr="006E2985">
        <w:t xml:space="preserve"> F, </w:t>
      </w:r>
      <w:proofErr w:type="spellStart"/>
      <w:r w:rsidRPr="006E2985">
        <w:t>Cattivelli</w:t>
      </w:r>
      <w:proofErr w:type="spellEnd"/>
      <w:r w:rsidRPr="006E2985">
        <w:t xml:space="preserve"> R, </w:t>
      </w:r>
      <w:proofErr w:type="spellStart"/>
      <w:r w:rsidRPr="006E2985">
        <w:t>Capodaglio</w:t>
      </w:r>
      <w:proofErr w:type="spellEnd"/>
      <w:r w:rsidRPr="006E2985">
        <w:t xml:space="preserve"> P, </w:t>
      </w:r>
      <w:proofErr w:type="spellStart"/>
      <w:r w:rsidRPr="006E2985">
        <w:t>Castelnuovo</w:t>
      </w:r>
      <w:proofErr w:type="spellEnd"/>
      <w:r w:rsidRPr="006E2985">
        <w:t xml:space="preserve"> G. The association of </w:t>
      </w:r>
      <w:proofErr w:type="spellStart"/>
      <w:r w:rsidRPr="006E2985">
        <w:t>kinesiophobia</w:t>
      </w:r>
      <w:proofErr w:type="spellEnd"/>
      <w:r w:rsidRPr="006E2985">
        <w:t xml:space="preserve"> and pain catastrophizing with pain-related disability and pain intensity in obesity and chronic lower-back pain. Brain Sci. 2020. </w:t>
      </w:r>
      <w:proofErr w:type="gramStart"/>
      <w:r w:rsidRPr="006E2985">
        <w:t>doi:</w:t>
      </w:r>
      <w:proofErr w:type="gramEnd"/>
      <w:r w:rsidRPr="006E2985">
        <w:t xml:space="preserve">10.3390/brainsci11010011. </w:t>
      </w:r>
    </w:p>
    <w:p w:rsidR="006E2985" w:rsidRPr="006E2985" w:rsidRDefault="006E2985" w:rsidP="006E2985">
      <w:pPr>
        <w:pStyle w:val="Body"/>
        <w:numPr>
          <w:ilvl w:val="0"/>
          <w:numId w:val="18"/>
        </w:numPr>
      </w:pPr>
      <w:proofErr w:type="spellStart"/>
      <w:r w:rsidRPr="006E2985">
        <w:t>Varallo</w:t>
      </w:r>
      <w:proofErr w:type="spellEnd"/>
      <w:r w:rsidRPr="006E2985">
        <w:t xml:space="preserve"> G, </w:t>
      </w:r>
      <w:proofErr w:type="spellStart"/>
      <w:r w:rsidRPr="006E2985">
        <w:t>Scarpina</w:t>
      </w:r>
      <w:proofErr w:type="spellEnd"/>
      <w:r w:rsidRPr="006E2985">
        <w:t xml:space="preserve"> F, </w:t>
      </w:r>
      <w:proofErr w:type="spellStart"/>
      <w:r w:rsidRPr="006E2985">
        <w:t>Giusti</w:t>
      </w:r>
      <w:proofErr w:type="spellEnd"/>
      <w:r w:rsidRPr="006E2985">
        <w:t xml:space="preserve"> E, </w:t>
      </w:r>
      <w:proofErr w:type="spellStart"/>
      <w:r w:rsidRPr="006E2985">
        <w:t>Cattivelli</w:t>
      </w:r>
      <w:proofErr w:type="spellEnd"/>
      <w:r w:rsidRPr="006E2985">
        <w:t xml:space="preserve"> R, </w:t>
      </w:r>
      <w:proofErr w:type="spellStart"/>
      <w:r w:rsidRPr="006E2985">
        <w:t>Usubini</w:t>
      </w:r>
      <w:proofErr w:type="spellEnd"/>
      <w:r w:rsidRPr="006E2985">
        <w:t xml:space="preserve"> AG, </w:t>
      </w:r>
      <w:proofErr w:type="spellStart"/>
      <w:r w:rsidRPr="006E2985">
        <w:t>Capodaglio</w:t>
      </w:r>
      <w:proofErr w:type="spellEnd"/>
      <w:r w:rsidRPr="006E2985">
        <w:t xml:space="preserve"> P, </w:t>
      </w:r>
      <w:proofErr w:type="spellStart"/>
      <w:r w:rsidRPr="006E2985">
        <w:t>Castelnuovo</w:t>
      </w:r>
      <w:proofErr w:type="spellEnd"/>
      <w:r w:rsidRPr="006E2985">
        <w:t xml:space="preserve"> G. Does </w:t>
      </w:r>
      <w:proofErr w:type="spellStart"/>
      <w:r w:rsidRPr="006E2985">
        <w:t>kinesiophobia</w:t>
      </w:r>
      <w:proofErr w:type="spellEnd"/>
      <w:r w:rsidRPr="006E2985">
        <w:t xml:space="preserve"> mediate the relationship between pain intensity and disability in individuals with chronic low-back pain and obesity? Brain Sci. 2021. </w:t>
      </w:r>
      <w:proofErr w:type="gramStart"/>
      <w:r w:rsidRPr="006E2985">
        <w:t>doi:</w:t>
      </w:r>
      <w:proofErr w:type="gramEnd"/>
      <w:r w:rsidRPr="006E2985">
        <w:t xml:space="preserve">10.3390/brainsci11060684. </w:t>
      </w:r>
    </w:p>
    <w:p w:rsidR="006E2985" w:rsidRPr="006E2985" w:rsidRDefault="006E2985" w:rsidP="006E2985">
      <w:pPr>
        <w:pStyle w:val="Body"/>
        <w:numPr>
          <w:ilvl w:val="0"/>
          <w:numId w:val="18"/>
        </w:numPr>
      </w:pPr>
      <w:r w:rsidRPr="006E2985">
        <w:t xml:space="preserve">Zhou J, </w:t>
      </w:r>
      <w:proofErr w:type="spellStart"/>
      <w:r w:rsidRPr="006E2985">
        <w:t>Mi</w:t>
      </w:r>
      <w:proofErr w:type="spellEnd"/>
      <w:r w:rsidRPr="006E2985">
        <w:t xml:space="preserve"> J, </w:t>
      </w:r>
      <w:proofErr w:type="spellStart"/>
      <w:r w:rsidRPr="006E2985">
        <w:t>Peng</w:t>
      </w:r>
      <w:proofErr w:type="spellEnd"/>
      <w:r w:rsidRPr="006E2985">
        <w:t xml:space="preserve"> Y, Han H, Liu Z. Causal associations of obesity with the intervertebral degeneration, low back pain, and sciatica: a two-sample </w:t>
      </w:r>
      <w:proofErr w:type="spellStart"/>
      <w:r w:rsidRPr="006E2985">
        <w:t>Mendelian</w:t>
      </w:r>
      <w:proofErr w:type="spellEnd"/>
      <w:r w:rsidRPr="006E2985">
        <w:t xml:space="preserve"> randomization study. Front </w:t>
      </w:r>
      <w:proofErr w:type="spellStart"/>
      <w:r w:rsidRPr="006E2985">
        <w:t>Endocrinol</w:t>
      </w:r>
      <w:proofErr w:type="spellEnd"/>
      <w:r w:rsidRPr="006E2985">
        <w:t>. 2021</w:t>
      </w:r>
      <w:proofErr w:type="gramStart"/>
      <w:r w:rsidRPr="006E2985">
        <w:t>;12</w:t>
      </w:r>
      <w:proofErr w:type="gramEnd"/>
      <w:r w:rsidRPr="006E2985">
        <w:t xml:space="preserve">. doi:10.3389/fendo.2021.740200. </w:t>
      </w:r>
    </w:p>
    <w:p w:rsidR="00441E67" w:rsidRPr="004175AC" w:rsidRDefault="00441E67" w:rsidP="006E2985">
      <w:pPr>
        <w:pStyle w:val="Body"/>
      </w:pPr>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2D7" w:rsidRDefault="008322D7" w:rsidP="005146DA">
      <w:pPr>
        <w:spacing w:after="0" w:line="240" w:lineRule="auto"/>
      </w:pPr>
      <w:r>
        <w:separator/>
      </w:r>
    </w:p>
  </w:endnote>
  <w:endnote w:type="continuationSeparator" w:id="0">
    <w:p w:rsidR="008322D7" w:rsidRDefault="008322D7"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2D7" w:rsidRDefault="008322D7" w:rsidP="005146DA">
      <w:pPr>
        <w:spacing w:after="0" w:line="240" w:lineRule="auto"/>
      </w:pPr>
      <w:r>
        <w:separator/>
      </w:r>
    </w:p>
  </w:footnote>
  <w:footnote w:type="continuationSeparator" w:id="0">
    <w:p w:rsidR="008322D7" w:rsidRDefault="008322D7"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7232FD">
          <w:rPr>
            <w:rStyle w:val="BodyChar"/>
            <w:rFonts w:cstheme="majorBidi"/>
            <w:color w:val="074F6A"/>
            <w:sz w:val="18"/>
            <w:vertAlign w:val="subscript"/>
          </w:rPr>
          <w:t>2000</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7232FD" w:rsidRPr="007232FD">
          <w:rPr>
            <w:rStyle w:val="BodyChar"/>
            <w:rFonts w:cstheme="majorBidi"/>
            <w:noProof/>
            <w:color w:val="074F6A"/>
            <w:vertAlign w:val="subscript"/>
          </w:rPr>
          <w:t>8</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7232FD" w:rsidRPr="007232FD">
      <w:rPr>
        <w:rFonts w:ascii="Plantagenet Cherokee" w:hAnsi="Plantagenet Cherokee"/>
        <w:color w:val="0B769F" w:themeColor="accent4" w:themeShade="BF"/>
        <w:sz w:val="14"/>
        <w:szCs w:val="14"/>
      </w:rPr>
      <w:t>10.61919/jhrr.v6i4.2000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E568A7"/>
    <w:multiLevelType w:val="multilevel"/>
    <w:tmpl w:val="1F207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2521A"/>
    <w:multiLevelType w:val="hybridMultilevel"/>
    <w:tmpl w:val="D5E42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8">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8"/>
  </w:num>
  <w:num w:numId="4">
    <w:abstractNumId w:val="13"/>
  </w:num>
  <w:num w:numId="5">
    <w:abstractNumId w:val="14"/>
  </w:num>
  <w:num w:numId="6">
    <w:abstractNumId w:val="5"/>
  </w:num>
  <w:num w:numId="7">
    <w:abstractNumId w:val="16"/>
  </w:num>
  <w:num w:numId="8">
    <w:abstractNumId w:val="10"/>
  </w:num>
  <w:num w:numId="9">
    <w:abstractNumId w:val="2"/>
  </w:num>
  <w:num w:numId="10">
    <w:abstractNumId w:val="12"/>
  </w:num>
  <w:num w:numId="11">
    <w:abstractNumId w:val="4"/>
  </w:num>
  <w:num w:numId="12">
    <w:abstractNumId w:val="0"/>
  </w:num>
  <w:num w:numId="13">
    <w:abstractNumId w:val="6"/>
  </w:num>
  <w:num w:numId="14">
    <w:abstractNumId w:val="9"/>
  </w:num>
  <w:num w:numId="15">
    <w:abstractNumId w:val="17"/>
  </w:num>
  <w:num w:numId="16">
    <w:abstractNumId w:val="11"/>
  </w:num>
  <w:num w:numId="17">
    <w:abstractNumId w:val="1"/>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985"/>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2985"/>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32F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22D7"/>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4:docId w14:val="3F8211ED"/>
  <w15:chartTrackingRefBased/>
  <w15:docId w15:val="{7F8E67E0-0BDE-4FF6-9A0E-3C833C3E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20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1730A-3673-42CA-9F7C-A1A49A0F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13</TotalTime>
  <Pages>8</Pages>
  <Words>5414</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2</cp:revision>
  <cp:lastPrinted>2026-04-24T11:38:00Z</cp:lastPrinted>
  <dcterms:created xsi:type="dcterms:W3CDTF">2026-06-04T07:23:00Z</dcterms:created>
  <dcterms:modified xsi:type="dcterms:W3CDTF">2026-06-04T07:37:00Z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