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6F2C2B" w:rsidRPr="006F2C2B" w:rsidRDefault="006F2C2B" w:rsidP="006F2C2B">
      <w:pPr>
        <w:pStyle w:val="Body"/>
        <w:spacing w:before="75" w:after="100"/>
        <w:rPr>
          <w:rFonts w:cstheme="majorBidi"/>
          <w:b/>
          <w:bCs/>
          <w:color w:val="000000" w:themeColor="text1"/>
          <w:sz w:val="36"/>
          <w:szCs w:val="36"/>
        </w:rPr>
      </w:pPr>
      <w:r w:rsidRPr="006F2C2B">
        <w:rPr>
          <w:rFonts w:cstheme="majorBidi"/>
          <w:b/>
          <w:bCs/>
          <w:color w:val="000000" w:themeColor="text1"/>
          <w:sz w:val="36"/>
          <w:szCs w:val="36"/>
        </w:rPr>
        <w:t>Predictors of Functional Recovery and Poor Clinical Outcomes Following Hip Fracture Surgery in Older Adults: A Prospective Cohort Study at Mayo Hospital Lahore</w:t>
      </w:r>
    </w:p>
    <w:p w:rsidR="00E202E9" w:rsidRPr="00BB7230" w:rsidRDefault="007C1877" w:rsidP="007C1877">
      <w:pPr>
        <w:pStyle w:val="Body"/>
        <w:spacing w:before="75" w:after="100"/>
        <w:rPr>
          <w:rFonts w:cstheme="majorBidi"/>
          <w:b/>
          <w:bCs/>
          <w:color w:val="074F6A" w:themeColor="accent4" w:themeShade="80"/>
          <w:sz w:val="24"/>
          <w:szCs w:val="24"/>
        </w:rPr>
      </w:pPr>
      <w:r w:rsidRPr="007C1877">
        <w:rPr>
          <w:rFonts w:cstheme="majorBidi"/>
          <w:b/>
          <w:bCs/>
          <w:color w:val="074F6A" w:themeColor="accent4" w:themeShade="80"/>
          <w:sz w:val="24"/>
          <w:szCs w:val="24"/>
        </w:rPr>
        <w:t xml:space="preserve">Dr. </w:t>
      </w:r>
      <w:r w:rsidR="006F2C2B" w:rsidRPr="006F2C2B">
        <w:rPr>
          <w:rFonts w:cstheme="majorBidi"/>
          <w:b/>
          <w:bCs/>
          <w:color w:val="074F6A" w:themeColor="accent4" w:themeShade="80"/>
          <w:sz w:val="24"/>
          <w:szCs w:val="24"/>
          <w:lang w:val="en-GB"/>
        </w:rPr>
        <w:t xml:space="preserve">Aleena Komal </w:t>
      </w:r>
      <w:r w:rsidRPr="007C1877">
        <w:rPr>
          <w:rFonts w:cstheme="majorBidi"/>
          <w:b/>
          <w:bCs/>
          <w:color w:val="074F6A" w:themeColor="accent4" w:themeShade="80"/>
          <w:sz w:val="24"/>
          <w:szCs w:val="24"/>
        </w:rPr>
        <w:t>¹</w:t>
      </w:r>
    </w:p>
    <w:p w:rsidR="00607EA1" w:rsidRPr="00BB7230" w:rsidRDefault="006F2C2B" w:rsidP="004175AC">
      <w:pPr>
        <w:pStyle w:val="Body"/>
        <w:spacing w:before="75" w:after="75" w:line="240" w:lineRule="auto"/>
        <w:rPr>
          <w:rFonts w:cstheme="majorBidi"/>
          <w:color w:val="000000" w:themeColor="text1"/>
          <w:sz w:val="18"/>
          <w:szCs w:val="16"/>
        </w:rPr>
      </w:pPr>
      <w:r>
        <w:rPr>
          <w:rFonts w:cstheme="majorBidi"/>
          <w:color w:val="000000" w:themeColor="text1"/>
          <w:sz w:val="18"/>
          <w:szCs w:val="16"/>
        </w:rPr>
        <w:t>¹University Of Lahore</w:t>
      </w:r>
      <w:r w:rsidR="007C1877" w:rsidRPr="007C1877">
        <w:rPr>
          <w:rFonts w:cstheme="majorBidi"/>
          <w:color w:val="000000" w:themeColor="text1"/>
          <w:sz w:val="18"/>
          <w:szCs w:val="16"/>
        </w:rPr>
        <w:t>, Pakistan</w:t>
      </w:r>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7C1877" w:rsidRPr="007C1877">
        <w:rPr>
          <w:rFonts w:cstheme="majorBidi"/>
          <w:b/>
          <w:bCs/>
          <w:color w:val="074F6A" w:themeColor="accent4" w:themeShade="80"/>
          <w:sz w:val="18"/>
          <w:szCs w:val="16"/>
          <w:lang w:val="pt-BR"/>
        </w:rPr>
        <w:t xml:space="preserve">Dr. </w:t>
      </w:r>
      <w:r w:rsidR="006F2C2B" w:rsidRPr="006F2C2B">
        <w:rPr>
          <w:rFonts w:cstheme="majorBidi"/>
          <w:b/>
          <w:bCs/>
          <w:color w:val="074F6A" w:themeColor="accent4" w:themeShade="80"/>
          <w:sz w:val="18"/>
          <w:szCs w:val="16"/>
          <w:lang w:val="en-GB"/>
        </w:rPr>
        <w:t>Aleena Komal</w:t>
      </w:r>
      <w:r w:rsidR="007C1877" w:rsidRPr="007C1877">
        <w:rPr>
          <w:rFonts w:cstheme="majorBidi"/>
          <w:b/>
          <w:bCs/>
          <w:color w:val="074F6A" w:themeColor="accent4" w:themeShade="80"/>
          <w:sz w:val="18"/>
          <w:szCs w:val="16"/>
          <w:lang w:val="pt-BR"/>
        </w:rPr>
        <w:t xml:space="preserve">, </w:t>
      </w:r>
      <w:r w:rsidR="006F2C2B" w:rsidRPr="006F2C2B">
        <w:rPr>
          <w:rFonts w:cstheme="majorBidi"/>
          <w:b/>
          <w:bCs/>
          <w:color w:val="074F6A" w:themeColor="accent4" w:themeShade="80"/>
          <w:sz w:val="18"/>
          <w:szCs w:val="16"/>
          <w:lang w:val="en-GB"/>
        </w:rPr>
        <w:t>aleenakomal67@gmail</w:t>
      </w:r>
      <w:r w:rsidR="006F2C2B" w:rsidRPr="006F2C2B">
        <w:rPr>
          <w:rFonts w:cstheme="majorBidi"/>
          <w:b/>
          <w:bCs/>
          <w:color w:val="074F6A" w:themeColor="accent4" w:themeShade="80"/>
          <w:sz w:val="18"/>
          <w:szCs w:val="16"/>
          <w:lang w:val="pt-BR"/>
        </w:rPr>
        <w:t xml:space="preserve"> </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6F2C2B" w:rsidRPr="006F2C2B">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February</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6F2C2B" w:rsidRPr="006F2C2B">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March</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6F2C2B">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30-April</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6F2C2B">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AK</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006F2C2B">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Design: AK; Data Collection: AK; Analysis: AK; Drafting: AK</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6F2C2B" w:rsidRPr="006F2C2B">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University Of Lahore, 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6F2C2B">
      <w:pPr>
        <w:pStyle w:val="Heading1"/>
      </w:pPr>
      <w:r w:rsidRPr="00BB7230">
        <w:t>Abstract</w:t>
      </w:r>
    </w:p>
    <w:p w:rsidR="006F2C2B" w:rsidRPr="006F2C2B" w:rsidRDefault="006F2C2B" w:rsidP="006F2C2B">
      <w:pPr>
        <w:pStyle w:val="Body"/>
      </w:pPr>
      <w:r w:rsidRPr="006F2C2B">
        <w:t xml:space="preserve">Background: Hip fracture surgery in older adults is frequently followed by incomplete functional recovery and adverse clinical outcomes. Objective: To evaluate predictors of functional recovery and poor clinical outcomes following hip fracture surgery in older adults at Mayo Hospital Lahore. Methods: This prospective cohort study included 154 older adults undergoing hip fracture surgery. Baseline demographic, clinical, psychosocial, perioperative, and rehabilitation-related variables were assessed. Outcomes included poor clinical outcome at follow-up, recovery of pre-fracture mobility, recovery of health-related quality of life, postoperative delirium, 30-day readmission, one-year mortality, Timed Up and Go performance, and functional status score. Predictors of poor outcome were analyzed using odds ratios with 95% confidence intervals. Results: The mean age was 78.6 ± 7.4 years, and 70.8% were female. Poor clinical outcome occurred in 37.7% of patients, while 50.6% recovered pre-fracture mobility and 53.2% recovered pre-fracture health-related quality of life. Frailty was the strongest predictor of poor outcome (OR: 2.84; 95% CI: 1.43–5.64; p=0.003), followed by cognitive impairment (OR: 2.31; p=0.035), depressive symptoms (OR: 2.12; p=0.041), and low social support (OR: 1.96; p=0.047). Rehabilitation adherence (OR: 0.46; p=0.026) and pre-fracture independent ambulation (OR: 0.41; p=0.014) were protective. Conclusion: Functional recovery after hip fracture surgery in older adults is influenced by frailty, cognition, psychological status, social support, rehabilitation adherence, and baseline mobility. Keywords: Hip fracture, older adults, functional recovery, frailty, rehabilitation, Mayo Hospital Lahore. </w:t>
      </w:r>
    </w:p>
    <w:p w:rsidR="006F2C2B" w:rsidRPr="006F2C2B" w:rsidRDefault="006F2C2B" w:rsidP="006F2C2B">
      <w:pPr>
        <w:pStyle w:val="Heading1"/>
      </w:pPr>
      <w:r w:rsidRPr="006F2C2B">
        <w:t>Introduction</w:t>
      </w:r>
    </w:p>
    <w:p w:rsidR="006F2C2B" w:rsidRPr="006F2C2B" w:rsidRDefault="006F2C2B" w:rsidP="006F2C2B">
      <w:pPr>
        <w:pStyle w:val="Body"/>
      </w:pPr>
      <w:r w:rsidRPr="006F2C2B">
        <w:t>Hip fractures are among the most serious musculoskeletal injuries affecting older adults and are associated with substantial morbidity, mortality, long-term disability, and increased healthcare utilization worldwide (1). The global aging population has contributed to a rising incidence of fragility-related hip fractures, particularly among individuals with frailty, osteoporosis, impaired mobility, and multiple chronic comorbidities (2). Despite advances in surgical management and perioperative care, recovery following hip fracture surgery remains highly variable, with many older adults failing to regain pre-fracture functional independence and quality of life (3). Functional decline after hip fracture frequently results in prolonged institutionalization, recurrent hospitalization, reduced social participation, and elevated mortality risk, making postoperative recovery an important public health and geriatric rehabilitation concern (4).</w:t>
      </w:r>
    </w:p>
    <w:p w:rsidR="006F2C2B" w:rsidRPr="006F2C2B" w:rsidRDefault="006F2C2B" w:rsidP="006F2C2B">
      <w:pPr>
        <w:pStyle w:val="Body"/>
      </w:pPr>
      <w:r w:rsidRPr="006F2C2B">
        <w:t xml:space="preserve">Recovery after hip fracture is increasingly recognized as a multidimensional process influenced not only by surgical intervention but also by biological, psychological, functional, and social determinants (5). Previous literature has demonstrated that factors such as frailty, baseline physical performance, cognitive impairment, depression, nutritional deficiencies, and rehabilitation adherence substantially affect postoperative outcomes in elderly populations (6,7). Frailty in particular has emerged as a strong predictor of adverse postoperative outcomes, including delayed mobility recovery, complications, reduced quality of life, and increased mortality following hip fracture surgery (8). Similarly, impaired cognitive function and depressive symptoms may interfere with rehabilitation participation, self-care capacity, and postoperative functional adaptation, thereby limiting recovery potential (9). Psychosocial variables, including family support and perceived social connectedness, have </w:t>
      </w:r>
      <w:r w:rsidRPr="006F2C2B">
        <w:lastRenderedPageBreak/>
        <w:t>also been associated with rehabilitation success and long-term mobility restoration among older adults recovering from hip fractures (10).</w:t>
      </w:r>
    </w:p>
    <w:p w:rsidR="006F2C2B" w:rsidRPr="006F2C2B" w:rsidRDefault="006F2C2B" w:rsidP="006F2C2B">
      <w:pPr>
        <w:pStyle w:val="Body"/>
      </w:pPr>
      <w:r w:rsidRPr="006F2C2B">
        <w:t>Postoperative rehabilitation plays a central role in optimizing functional recovery after hip fracture surgery. Evidence suggests that structured rehabilitation interventions incorporating progressive resistance training, balance exercises, gait retraining, and multidisciplinary geriatric management can improve postoperative mobility and physical functioning (11,12). However, rehabilitation outcomes vary considerably due to differences in patient adherence, baseline mobility status, comorbidity burden, and access to rehabilitative care (13). Several studies have emphasized that adherence to rehabilitation programs may be more influential than rehabilitation exposure alone, highlighting the importance of sustained patient engagement during postoperative recovery (14). Furthermore, delayed surgery, prolonged hospitalization, and poor pre-fracture ambulatory status have been associated with unfavorable recovery trajectories and persistent disability (15).</w:t>
      </w:r>
    </w:p>
    <w:p w:rsidR="006F2C2B" w:rsidRPr="006F2C2B" w:rsidRDefault="006F2C2B" w:rsidP="006F2C2B">
      <w:pPr>
        <w:pStyle w:val="Body"/>
      </w:pPr>
      <w:r w:rsidRPr="006F2C2B">
        <w:t>Although substantial international research has explored prognostic factors affecting hip fracture recovery, important gaps remain in understanding how these multidimensional predictors interact within resource-variable healthcare systems, particularly in South Asian tertiary-care settings. Most existing studies have been conducted in high-income countries with established geriatric rehabilitation infrastructures, limiting generalizability to developing healthcare environments (16). Evidence from Pakistan regarding predictors of postoperative recovery after hip fracture surgery in older adults remains scarce, despite increasing life expectancy and growing orthopedic burden among elderly populations. Local tertiary-care institutions such as Mayo Hospital Lahore manage a high volume of geriatric orthopedic trauma cases, yet prospective evidence evaluating functional recovery and determinants of poor outcomes within this setting is limited.</w:t>
      </w:r>
    </w:p>
    <w:p w:rsidR="006F2C2B" w:rsidRPr="006F2C2B" w:rsidRDefault="006F2C2B" w:rsidP="006F2C2B">
      <w:pPr>
        <w:pStyle w:val="Body"/>
      </w:pPr>
      <w:r w:rsidRPr="006F2C2B">
        <w:t>Understanding the combined influence of frailty, cognitive impairment, depressive symptoms, social support, baseline mobility, and rehabilitation adherence is essential for identifying high-risk patients and developing targeted multidisciplinary interventions aimed at improving postoperative recovery. Early recognition of modifiable risk factors may facilitate individualized rehabilitation planning, improve mobility restoration, reduce readmissions, and enhance health-related quality of life among older adults recovering from hip fracture surgery (17). Moreover, evaluating recovery predictors in a prospective cohort framework may strengthen causal inference and provide clinically applicable evidence for perioperative geriatric care optimization.</w:t>
      </w:r>
    </w:p>
    <w:p w:rsidR="006F2C2B" w:rsidRPr="006F2C2B" w:rsidRDefault="006F2C2B" w:rsidP="006F2C2B">
      <w:pPr>
        <w:pStyle w:val="Body"/>
      </w:pPr>
      <w:r w:rsidRPr="006F2C2B">
        <w:t xml:space="preserve">Therefore, this study aimed to evaluate predictors of functional recovery and poor clinical outcomes following hip fracture surgery in older adults treated at Mayo Hospital Lahore. The study further sought to assess the influence of frailty, cognitive impairment, depressive symptoms, social support, rehabilitation adherence, baseline ambulatory status, and perioperative factors on postoperative recovery outcomes in elderly patients undergoing hip fracture surgery (18). </w:t>
      </w:r>
    </w:p>
    <w:p w:rsidR="006F2C2B" w:rsidRPr="006F2C2B" w:rsidRDefault="006F2C2B" w:rsidP="006F2C2B">
      <w:pPr>
        <w:pStyle w:val="Heading1"/>
      </w:pPr>
      <w:r w:rsidRPr="006F2C2B">
        <w:t>Material and methods</w:t>
      </w:r>
    </w:p>
    <w:p w:rsidR="006F2C2B" w:rsidRPr="006F2C2B" w:rsidRDefault="006F2C2B" w:rsidP="006F2C2B">
      <w:pPr>
        <w:pStyle w:val="Body"/>
      </w:pPr>
      <w:r w:rsidRPr="006F2C2B">
        <w:t>A prospective cohort study was conducted in the Department of Orthopedic Surgery at Mayo Hospital Lahore, affiliated with King Edward Medical University, Lahore, Pakistan, to evaluate predictors of functional recovery and poor clinical outcomes among older adults undergoing hip fracture surgery. The study was carried out over a defined recruitment and follow-up period during which eligible postoperative patients were consecutively enrolled and prospectively followed after surgical management of hip fracture. A prospective observational design was selected to establish temporal relationships between baseline clinical, psychosocial, and rehabilitation-related factors and subsequent postoperative recovery outcomes in elderly patients. The study methodology was designed and reported in accordance with Strengthening the Reporting of Observational Studies in Epidemiology (STROBE) recommendations for cohort studies.</w:t>
      </w:r>
    </w:p>
    <w:p w:rsidR="006F2C2B" w:rsidRPr="006F2C2B" w:rsidRDefault="006F2C2B" w:rsidP="006F2C2B">
      <w:pPr>
        <w:pStyle w:val="Body"/>
      </w:pPr>
      <w:r w:rsidRPr="006F2C2B">
        <w:t>Older adults aged 60 years and above who underwent surgical treatment for hip fracture and were admitted to the orthopedic surgery unit during the study period were considered eligible for inclusion. Hip fractures included femoral neck, intertrochanteric, and subtrochanteric fractures confirmed radiologically and managed surgically according to institutional orthopedic protocols. Patients with pathological fractures secondary to malignancy, polytrauma, terminal illness, severe communication impairment precluding assessment, or refusal to participate were excluded from the study. Participants were recruited consecutively following postoperative stabilization to minimize selection bias and improve representativeness of the study population. Written informed consent was obtained from all participants or their legally authorized attendants prior to enrollment.</w:t>
      </w:r>
    </w:p>
    <w:p w:rsidR="006F2C2B" w:rsidRPr="006F2C2B" w:rsidRDefault="006F2C2B" w:rsidP="006F2C2B">
      <w:pPr>
        <w:pStyle w:val="Body"/>
      </w:pPr>
      <w:r w:rsidRPr="006F2C2B">
        <w:lastRenderedPageBreak/>
        <w:t>Baseline demographic, clinical, perioperative, psychosocial, and rehabilitation-related data were collected using a structured standardized proforma through direct patient interviews, caregiver interviews, medical record review, and clinical assessment. Baseline variables included age, sex, body mass index, pre-fracture mobility status, ambulatory independence, requirement for walking aids, frailty status, comorbidities, time to surgery, and duration of hospital stay. Clinical comorbidities including hypertension, diabetes mellitus, cardiovascular disease, chronic kidney disease, and cognitive impairment were documented from patient history and hospital records. Frailty assessment was performed using validated geriatric frailty assessment criteria incorporating functional reserve, weakness, fatigue, and mobility limitations. Cognitive impairment was evaluated using a standardized cognitive screening approach appropriate for elderly orthopedic patients, while depressive symptoms were assessed through validated geriatric psychological screening measures. Functional social support was evaluated using structured patient-reported assessment methods addressing emotional and practical caregiving support during recovery.</w:t>
      </w:r>
    </w:p>
    <w:p w:rsidR="006F2C2B" w:rsidRPr="006F2C2B" w:rsidRDefault="006F2C2B" w:rsidP="006F2C2B">
      <w:pPr>
        <w:pStyle w:val="Body"/>
      </w:pPr>
      <w:r w:rsidRPr="006F2C2B">
        <w:t>Postoperative rehabilitation exposure and adherence were prospectively monitored throughout follow-up. Rehabilitation participation included inpatient physiotherapy, gait training, strengthening exercises, mobility retraining, and prescribed home-based rehabilitation programs according to institutional rehabilitation protocols. Rehabilitation adherence was operationally defined as regular compliance with prescribed rehabilitation sessions and home exercise recommendations during follow-up. Baseline ambulatory status was categorized according to independent ambulation or requirement for assistive walking devices prior to fracture occurrence. Surgical timing was calculated as the interval between hospital admission and operative intervention, while prolonged surgical delay was categorized as surgery performed more than 48 hours after admission.</w:t>
      </w:r>
    </w:p>
    <w:p w:rsidR="006F2C2B" w:rsidRPr="006F2C2B" w:rsidRDefault="006F2C2B" w:rsidP="006F2C2B">
      <w:pPr>
        <w:pStyle w:val="Body"/>
      </w:pPr>
      <w:r w:rsidRPr="006F2C2B">
        <w:t>The primary outcome of the study was poor clinical outcome following hip fracture surgery, defined through combined assessment of postoperative functional status, mobility recovery, and health-related quality of life at follow-up evaluation. Secondary outcomes included recovery of pre-fracture mobility, recovery of pre-fracture health-related quality of life, postoperative delirium, 30-day hospital readmission, one-year mortality, Timed Up and Go test performance, and postoperative functional status scores. Functional mobility assessment was performed using standardized geriatric mobility evaluation techniques, including the Timed Up and Go test measured in seconds. Functional recovery status was evaluated using validated postoperative functional assessment scales appropriate for elderly hip fracture populations. Outcome assessments were conducted at predefined postoperative follow-up intervals by trained investigators using standardized evaluation procedures to ensure measurement consistency and minimize observer bias.</w:t>
      </w:r>
    </w:p>
    <w:p w:rsidR="006F2C2B" w:rsidRPr="006F2C2B" w:rsidRDefault="006F2C2B" w:rsidP="006F2C2B">
      <w:pPr>
        <w:pStyle w:val="Body"/>
      </w:pPr>
      <w:r w:rsidRPr="006F2C2B">
        <w:t>Several methodological strategies were implemented to reduce bias and confounding. Consecutive patient recruitment minimized selection bias, while standardized data collection instruments and predefined operational definitions improved measurement reliability. Data collectors received uniform training regarding assessment procedures and study variable documentation. Potential confounding variables including age, sex, baseline ambulatory status, comorbidity burden, frailty, cognitive impairment, and rehabilitation adherence were identified a priori based on previous literature and clinical plausibility. Multivariable statistical modeling was subsequently used to adjust for clinically relevant confounders during inferential analysis. Internal consistency checks and routine data verification procedures were performed throughout data collection to ensure accuracy and completeness of the study database.</w:t>
      </w:r>
    </w:p>
    <w:p w:rsidR="006F2C2B" w:rsidRPr="006F2C2B" w:rsidRDefault="006F2C2B" w:rsidP="006F2C2B">
      <w:pPr>
        <w:pStyle w:val="Body"/>
      </w:pPr>
      <w:r w:rsidRPr="006F2C2B">
        <w:t>The sample size was determined using prevalence estimates and effect-size assumptions derived from previous literature evaluating postoperative recovery outcomes among elderly hip fracture patients (19,20). A final sample of 154 participants was considered sufficient to provide adequate statistical power for detecting clinically meaningful associations between predictor variables and postoperative outcomes while accounting for potential attrition during follow-up. All collected data were coded, entered, cleaned, and analyzed using Statistical Package for the Social Sciences (SPSS) version 26.0. Continuous variables were summarized using means and standard deviations or medians with interquartile ranges according to distribution characteristics, while categorical variables were reported as frequencies and percentages. Inferential analysis included chi-square testing, independent sample t-testing, and multivariable logistic regression analysis to identify independent predictors of poor clinical outcomes following hip fracture surgery. Variables demonstrating clinical relevance or statistical significance during univariate analysis were entered into multivariable regression models. Adjusted odds ratios with 95% confidence intervals were calculated, and statistical significance was defined at a two-tailed p-value of less than 0.05. Model adequacy and regression assumptions were assessed before final interpretation of results. Missing data were minimized through prospective follow-up and verification procedures, and incomplete observations were handled using appropriate case-wise analytical methods.</w:t>
      </w:r>
    </w:p>
    <w:p w:rsidR="006F2C2B" w:rsidRPr="006F2C2B" w:rsidRDefault="006F2C2B" w:rsidP="006F2C2B">
      <w:pPr>
        <w:pStyle w:val="Body"/>
      </w:pPr>
      <w:r w:rsidRPr="006F2C2B">
        <w:lastRenderedPageBreak/>
        <w:t xml:space="preserve">Ethical approval for the study was obtained from the Institutional Review Board and Ethical Review Committee of King Edward Medical University and Mayo Hospital Lahore prior to study initiation. The study was conducted in accordance with the ethical principles outlined in the Declaration of Helsinki. Participant confidentiality and anonymity were maintained throughout the study by assigning coded identifiers and restricting data access to authorized research personnel only. All study procedures adhered to institutional ethical standards governing human subject research and geriatric clinical investigations (19,20). </w:t>
      </w:r>
    </w:p>
    <w:p w:rsidR="006F2C2B" w:rsidRPr="006F2C2B" w:rsidRDefault="006F2C2B" w:rsidP="006F2C2B">
      <w:pPr>
        <w:pStyle w:val="Heading1"/>
      </w:pPr>
      <w:r w:rsidRPr="006F2C2B">
        <w:t>Results</w:t>
      </w:r>
    </w:p>
    <w:p w:rsidR="006F2C2B" w:rsidRPr="006F2C2B" w:rsidRDefault="006F2C2B" w:rsidP="006F2C2B">
      <w:pPr>
        <w:pStyle w:val="Body"/>
      </w:pPr>
      <w:r w:rsidRPr="006F2C2B">
        <w:t>A total of 154 older adults who underwent hip fracture surgery were included in the final analysis. The mean age of participants was 78.6 ± 7.4 years, and females constituted 70.8% of the study population. Pre-fracture independent ambulation was reported in 55.8% of patients, whereas 44.2% required walking assistance before fracture occurrence. Baseline frailty was identified in 46.8% of participants. The median time to surgery was 28.0 hours (IQR: 18.0–42.0), while the mean duration of hospital stay was 9.4 ± 4.8 days. Detailed baseline demographic and perioperative characteristics are presented in Table 1.</w:t>
      </w:r>
    </w:p>
    <w:p w:rsidR="006F2C2B" w:rsidRPr="006F2C2B" w:rsidRDefault="006F2C2B" w:rsidP="006F2C2B">
      <w:pPr>
        <w:pStyle w:val="Caption"/>
      </w:pPr>
      <w:r w:rsidRPr="006F2C2B">
        <w:t>Table 1. Baseline Demographic and Clinical Characteristics of Study Participants (n = 154)</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80"/>
        <w:gridCol w:w="506"/>
        <w:gridCol w:w="3941"/>
      </w:tblGrid>
      <w:tr w:rsidR="006F2C2B" w:rsidRPr="006F2C2B" w:rsidTr="006F2C2B">
        <w:trPr>
          <w:tblHeader/>
          <w:tblCellSpacing w:w="0" w:type="dxa"/>
        </w:trPr>
        <w:tc>
          <w:tcPr>
            <w:tcW w:w="2537"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Variable</w:t>
            </w:r>
          </w:p>
        </w:tc>
        <w:tc>
          <w:tcPr>
            <w:tcW w:w="280"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n</w:t>
            </w:r>
          </w:p>
        </w:tc>
        <w:tc>
          <w:tcPr>
            <w:tcW w:w="2183"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 / Mean ± SD / Median (IQR)</w:t>
            </w:r>
          </w:p>
        </w:tc>
      </w:tr>
      <w:tr w:rsidR="006F2C2B" w:rsidRPr="006F2C2B" w:rsidTr="006F2C2B">
        <w:trPr>
          <w:tblCellSpacing w:w="0" w:type="dxa"/>
        </w:trPr>
        <w:tc>
          <w:tcPr>
            <w:tcW w:w="2537"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Age, years</w:t>
            </w:r>
          </w:p>
        </w:tc>
        <w:tc>
          <w:tcPr>
            <w:tcW w:w="28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154</w:t>
            </w:r>
          </w:p>
        </w:tc>
        <w:tc>
          <w:tcPr>
            <w:tcW w:w="218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78.6 ± 7.4</w:t>
            </w:r>
          </w:p>
        </w:tc>
      </w:tr>
      <w:tr w:rsidR="006F2C2B" w:rsidRPr="006F2C2B" w:rsidTr="006F2C2B">
        <w:trPr>
          <w:tblCellSpacing w:w="0" w:type="dxa"/>
        </w:trPr>
        <w:tc>
          <w:tcPr>
            <w:tcW w:w="2537"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Female sex</w:t>
            </w:r>
          </w:p>
        </w:tc>
        <w:tc>
          <w:tcPr>
            <w:tcW w:w="28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109</w:t>
            </w:r>
          </w:p>
        </w:tc>
        <w:tc>
          <w:tcPr>
            <w:tcW w:w="218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70.8%</w:t>
            </w:r>
          </w:p>
        </w:tc>
      </w:tr>
      <w:tr w:rsidR="006F2C2B" w:rsidRPr="006F2C2B" w:rsidTr="006F2C2B">
        <w:trPr>
          <w:tblCellSpacing w:w="0" w:type="dxa"/>
        </w:trPr>
        <w:tc>
          <w:tcPr>
            <w:tcW w:w="2537"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Male sex</w:t>
            </w:r>
          </w:p>
        </w:tc>
        <w:tc>
          <w:tcPr>
            <w:tcW w:w="28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45</w:t>
            </w:r>
          </w:p>
        </w:tc>
        <w:tc>
          <w:tcPr>
            <w:tcW w:w="218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29.2%</w:t>
            </w:r>
          </w:p>
        </w:tc>
      </w:tr>
      <w:tr w:rsidR="006F2C2B" w:rsidRPr="006F2C2B" w:rsidTr="006F2C2B">
        <w:trPr>
          <w:tblCellSpacing w:w="0" w:type="dxa"/>
        </w:trPr>
        <w:tc>
          <w:tcPr>
            <w:tcW w:w="2537"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Body mass index, kg/m²</w:t>
            </w:r>
          </w:p>
        </w:tc>
        <w:tc>
          <w:tcPr>
            <w:tcW w:w="28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154</w:t>
            </w:r>
          </w:p>
        </w:tc>
        <w:tc>
          <w:tcPr>
            <w:tcW w:w="218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25.1 ± 4.3</w:t>
            </w:r>
          </w:p>
        </w:tc>
      </w:tr>
      <w:tr w:rsidR="006F2C2B" w:rsidRPr="006F2C2B" w:rsidTr="006F2C2B">
        <w:trPr>
          <w:tblCellSpacing w:w="0" w:type="dxa"/>
        </w:trPr>
        <w:tc>
          <w:tcPr>
            <w:tcW w:w="2537"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Pre-fracture independent ambulation</w:t>
            </w:r>
          </w:p>
        </w:tc>
        <w:tc>
          <w:tcPr>
            <w:tcW w:w="28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86</w:t>
            </w:r>
          </w:p>
        </w:tc>
        <w:tc>
          <w:tcPr>
            <w:tcW w:w="218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55.8%</w:t>
            </w:r>
          </w:p>
        </w:tc>
      </w:tr>
      <w:tr w:rsidR="006F2C2B" w:rsidRPr="006F2C2B" w:rsidTr="006F2C2B">
        <w:trPr>
          <w:tblCellSpacing w:w="0" w:type="dxa"/>
        </w:trPr>
        <w:tc>
          <w:tcPr>
            <w:tcW w:w="2537"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Required walking aid before fracture</w:t>
            </w:r>
          </w:p>
        </w:tc>
        <w:tc>
          <w:tcPr>
            <w:tcW w:w="28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68</w:t>
            </w:r>
          </w:p>
        </w:tc>
        <w:tc>
          <w:tcPr>
            <w:tcW w:w="218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44.2%</w:t>
            </w:r>
          </w:p>
        </w:tc>
      </w:tr>
      <w:tr w:rsidR="006F2C2B" w:rsidRPr="006F2C2B" w:rsidTr="006F2C2B">
        <w:trPr>
          <w:tblCellSpacing w:w="0" w:type="dxa"/>
        </w:trPr>
        <w:tc>
          <w:tcPr>
            <w:tcW w:w="2537"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Baseline frailty present</w:t>
            </w:r>
          </w:p>
        </w:tc>
        <w:tc>
          <w:tcPr>
            <w:tcW w:w="28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72</w:t>
            </w:r>
          </w:p>
        </w:tc>
        <w:tc>
          <w:tcPr>
            <w:tcW w:w="218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46.8%</w:t>
            </w:r>
          </w:p>
        </w:tc>
      </w:tr>
      <w:tr w:rsidR="006F2C2B" w:rsidRPr="006F2C2B" w:rsidTr="006F2C2B">
        <w:trPr>
          <w:tblCellSpacing w:w="0" w:type="dxa"/>
        </w:trPr>
        <w:tc>
          <w:tcPr>
            <w:tcW w:w="2537"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Time to surgery, hours</w:t>
            </w:r>
          </w:p>
        </w:tc>
        <w:tc>
          <w:tcPr>
            <w:tcW w:w="28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154</w:t>
            </w:r>
          </w:p>
        </w:tc>
        <w:tc>
          <w:tcPr>
            <w:tcW w:w="218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28.0 (18.0–42.0)</w:t>
            </w:r>
          </w:p>
        </w:tc>
      </w:tr>
      <w:tr w:rsidR="006F2C2B" w:rsidRPr="006F2C2B" w:rsidTr="006F2C2B">
        <w:trPr>
          <w:tblCellSpacing w:w="0" w:type="dxa"/>
        </w:trPr>
        <w:tc>
          <w:tcPr>
            <w:tcW w:w="2537"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Length of hospital stay, days</w:t>
            </w:r>
          </w:p>
        </w:tc>
        <w:tc>
          <w:tcPr>
            <w:tcW w:w="280"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154</w:t>
            </w:r>
          </w:p>
        </w:tc>
        <w:tc>
          <w:tcPr>
            <w:tcW w:w="2183"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9.4 ± 4.8</w:t>
            </w:r>
          </w:p>
        </w:tc>
      </w:tr>
    </w:tbl>
    <w:p w:rsidR="006F2C2B" w:rsidRPr="006F2C2B" w:rsidRDefault="006F2C2B" w:rsidP="006F2C2B">
      <w:pPr>
        <w:pStyle w:val="Body"/>
      </w:pPr>
      <w:r w:rsidRPr="006F2C2B">
        <w:t>Clinical comorbidities and rehabilitation-related variables are summarized in Table 2. Hypertension was the most common comorbidity, affecting 61.0% of participants, followed by cardiovascular disease (33.1%) and diabetes mellitus (27.3%). Cognitive impairment was observed in 25.3% of patients, while depressive symptoms were present in 30.5%. Vitamin D deficiency was identified in 53.9% of participants. Low functional social support was reported by 36.4% of patients. Postoperative rehabilitation services were received by 78.6% of the cohort, and 65.6% demonstrated adherence to prescribed rehabilitation programs.</w:t>
      </w:r>
    </w:p>
    <w:p w:rsidR="006F2C2B" w:rsidRPr="006F2C2B" w:rsidRDefault="006F2C2B" w:rsidP="006F2C2B">
      <w:pPr>
        <w:pStyle w:val="Caption"/>
      </w:pPr>
      <w:r w:rsidRPr="006F2C2B">
        <w:t>Table 2. Clinical Comorbidities and Rehabilitation-Related Variables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966"/>
        <w:gridCol w:w="776"/>
        <w:gridCol w:w="1285"/>
      </w:tblGrid>
      <w:tr w:rsidR="006F2C2B" w:rsidRPr="006F2C2B" w:rsidTr="006F2C2B">
        <w:trPr>
          <w:tblHeader/>
          <w:tblCellSpacing w:w="0" w:type="dxa"/>
        </w:trPr>
        <w:tc>
          <w:tcPr>
            <w:tcW w:w="3858"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Variable</w:t>
            </w:r>
          </w:p>
        </w:tc>
        <w:tc>
          <w:tcPr>
            <w:tcW w:w="430"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n</w:t>
            </w:r>
          </w:p>
        </w:tc>
        <w:tc>
          <w:tcPr>
            <w:tcW w:w="712"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w:t>
            </w:r>
          </w:p>
        </w:tc>
      </w:tr>
      <w:tr w:rsidR="006F2C2B" w:rsidRPr="006F2C2B" w:rsidTr="006F2C2B">
        <w:trPr>
          <w:tblCellSpacing w:w="0" w:type="dxa"/>
        </w:trPr>
        <w:tc>
          <w:tcPr>
            <w:tcW w:w="3858"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Hypertension</w:t>
            </w:r>
          </w:p>
        </w:tc>
        <w:tc>
          <w:tcPr>
            <w:tcW w:w="43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94</w:t>
            </w:r>
          </w:p>
        </w:tc>
        <w:tc>
          <w:tcPr>
            <w:tcW w:w="712"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61.0%</w:t>
            </w:r>
          </w:p>
        </w:tc>
      </w:tr>
      <w:tr w:rsidR="006F2C2B" w:rsidRPr="006F2C2B" w:rsidTr="006F2C2B">
        <w:trPr>
          <w:tblCellSpacing w:w="0" w:type="dxa"/>
        </w:trPr>
        <w:tc>
          <w:tcPr>
            <w:tcW w:w="3858"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Diabetes mellitus</w:t>
            </w:r>
          </w:p>
        </w:tc>
        <w:tc>
          <w:tcPr>
            <w:tcW w:w="43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42</w:t>
            </w:r>
          </w:p>
        </w:tc>
        <w:tc>
          <w:tcPr>
            <w:tcW w:w="712"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27.3%</w:t>
            </w:r>
          </w:p>
        </w:tc>
      </w:tr>
      <w:tr w:rsidR="006F2C2B" w:rsidRPr="006F2C2B" w:rsidTr="006F2C2B">
        <w:trPr>
          <w:tblCellSpacing w:w="0" w:type="dxa"/>
        </w:trPr>
        <w:tc>
          <w:tcPr>
            <w:tcW w:w="3858"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Cardiovascular disease</w:t>
            </w:r>
          </w:p>
        </w:tc>
        <w:tc>
          <w:tcPr>
            <w:tcW w:w="43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51</w:t>
            </w:r>
          </w:p>
        </w:tc>
        <w:tc>
          <w:tcPr>
            <w:tcW w:w="712"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33.1%</w:t>
            </w:r>
          </w:p>
        </w:tc>
      </w:tr>
      <w:tr w:rsidR="006F2C2B" w:rsidRPr="006F2C2B" w:rsidTr="006F2C2B">
        <w:trPr>
          <w:tblCellSpacing w:w="0" w:type="dxa"/>
        </w:trPr>
        <w:tc>
          <w:tcPr>
            <w:tcW w:w="3858"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Chronic kidney disease</w:t>
            </w:r>
          </w:p>
        </w:tc>
        <w:tc>
          <w:tcPr>
            <w:tcW w:w="43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28</w:t>
            </w:r>
          </w:p>
        </w:tc>
        <w:tc>
          <w:tcPr>
            <w:tcW w:w="712"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18.2%</w:t>
            </w:r>
          </w:p>
        </w:tc>
      </w:tr>
      <w:tr w:rsidR="006F2C2B" w:rsidRPr="006F2C2B" w:rsidTr="006F2C2B">
        <w:trPr>
          <w:tblCellSpacing w:w="0" w:type="dxa"/>
        </w:trPr>
        <w:tc>
          <w:tcPr>
            <w:tcW w:w="3858"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Cognitive impairment</w:t>
            </w:r>
          </w:p>
        </w:tc>
        <w:tc>
          <w:tcPr>
            <w:tcW w:w="43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39</w:t>
            </w:r>
          </w:p>
        </w:tc>
        <w:tc>
          <w:tcPr>
            <w:tcW w:w="712"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25.3%</w:t>
            </w:r>
          </w:p>
        </w:tc>
      </w:tr>
      <w:tr w:rsidR="006F2C2B" w:rsidRPr="006F2C2B" w:rsidTr="006F2C2B">
        <w:trPr>
          <w:tblCellSpacing w:w="0" w:type="dxa"/>
        </w:trPr>
        <w:tc>
          <w:tcPr>
            <w:tcW w:w="3858"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Depression symptoms</w:t>
            </w:r>
          </w:p>
        </w:tc>
        <w:tc>
          <w:tcPr>
            <w:tcW w:w="43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47</w:t>
            </w:r>
          </w:p>
        </w:tc>
        <w:tc>
          <w:tcPr>
            <w:tcW w:w="712"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30.5%</w:t>
            </w:r>
          </w:p>
        </w:tc>
      </w:tr>
      <w:tr w:rsidR="006F2C2B" w:rsidRPr="006F2C2B" w:rsidTr="006F2C2B">
        <w:trPr>
          <w:tblCellSpacing w:w="0" w:type="dxa"/>
        </w:trPr>
        <w:tc>
          <w:tcPr>
            <w:tcW w:w="3858"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Vitamin D deficiency</w:t>
            </w:r>
          </w:p>
        </w:tc>
        <w:tc>
          <w:tcPr>
            <w:tcW w:w="43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83</w:t>
            </w:r>
          </w:p>
        </w:tc>
        <w:tc>
          <w:tcPr>
            <w:tcW w:w="712"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53.9%</w:t>
            </w:r>
          </w:p>
        </w:tc>
      </w:tr>
      <w:tr w:rsidR="006F2C2B" w:rsidRPr="006F2C2B" w:rsidTr="006F2C2B">
        <w:trPr>
          <w:tblCellSpacing w:w="0" w:type="dxa"/>
        </w:trPr>
        <w:tc>
          <w:tcPr>
            <w:tcW w:w="3858"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Low functional social support</w:t>
            </w:r>
          </w:p>
        </w:tc>
        <w:tc>
          <w:tcPr>
            <w:tcW w:w="43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56</w:t>
            </w:r>
          </w:p>
        </w:tc>
        <w:tc>
          <w:tcPr>
            <w:tcW w:w="712"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36.4%</w:t>
            </w:r>
          </w:p>
        </w:tc>
      </w:tr>
      <w:tr w:rsidR="006F2C2B" w:rsidRPr="006F2C2B" w:rsidTr="006F2C2B">
        <w:trPr>
          <w:tblCellSpacing w:w="0" w:type="dxa"/>
        </w:trPr>
        <w:tc>
          <w:tcPr>
            <w:tcW w:w="3858"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Postoperative rehabilitation received</w:t>
            </w:r>
          </w:p>
        </w:tc>
        <w:tc>
          <w:tcPr>
            <w:tcW w:w="430"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121</w:t>
            </w:r>
          </w:p>
        </w:tc>
        <w:tc>
          <w:tcPr>
            <w:tcW w:w="712"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78.6%</w:t>
            </w:r>
          </w:p>
        </w:tc>
      </w:tr>
      <w:tr w:rsidR="006F2C2B" w:rsidRPr="006F2C2B" w:rsidTr="006F2C2B">
        <w:trPr>
          <w:tblCellSpacing w:w="0" w:type="dxa"/>
        </w:trPr>
        <w:tc>
          <w:tcPr>
            <w:tcW w:w="3858"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Adherent to rehabilitation program</w:t>
            </w:r>
          </w:p>
        </w:tc>
        <w:tc>
          <w:tcPr>
            <w:tcW w:w="430"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101</w:t>
            </w:r>
          </w:p>
        </w:tc>
        <w:tc>
          <w:tcPr>
            <w:tcW w:w="712"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65.6%</w:t>
            </w:r>
          </w:p>
        </w:tc>
      </w:tr>
    </w:tbl>
    <w:p w:rsidR="006F2C2B" w:rsidRPr="006F2C2B" w:rsidRDefault="006F2C2B" w:rsidP="006F2C2B">
      <w:pPr>
        <w:pStyle w:val="Body"/>
      </w:pPr>
      <w:r w:rsidRPr="006F2C2B">
        <w:t>Postoperative clinical outcomes are shown in Table 3. Poor clinical outcome at follow-up was observed in 37.7% of patients. Recovery of pre-fracture mobility and health-related quality of life was achieved in 50.6% and 53.2% of participants, respectively. Postoperative delirium occurred in 11.7% of patients, while 13.6% required hospital readmission within 30 days. One-year mortality was reported in 16.9% of the cohort. The mean Timed Up and Go test duration was 21.8 ± 8.6 seconds, and the mean postoperative functional status score was 64.2 ± 18.5.</w:t>
      </w:r>
    </w:p>
    <w:p w:rsidR="006F2C2B" w:rsidRPr="006F2C2B" w:rsidRDefault="006F2C2B" w:rsidP="006F2C2B">
      <w:pPr>
        <w:pStyle w:val="Caption"/>
      </w:pPr>
      <w:r w:rsidRPr="006F2C2B">
        <w:t>Table 3. Postoperative Clinical Outcomes Following Hip Fracture Surgery</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520"/>
        <w:gridCol w:w="516"/>
        <w:gridCol w:w="1991"/>
      </w:tblGrid>
      <w:tr w:rsidR="006F2C2B" w:rsidRPr="006F2C2B" w:rsidTr="006F2C2B">
        <w:trPr>
          <w:tblHeader/>
          <w:tblCellSpacing w:w="0" w:type="dxa"/>
        </w:trPr>
        <w:tc>
          <w:tcPr>
            <w:tcW w:w="3611"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Outcome</w:t>
            </w:r>
          </w:p>
        </w:tc>
        <w:tc>
          <w:tcPr>
            <w:tcW w:w="286"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n</w:t>
            </w:r>
          </w:p>
        </w:tc>
        <w:tc>
          <w:tcPr>
            <w:tcW w:w="1103"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 / Mean ± SD</w:t>
            </w:r>
          </w:p>
        </w:tc>
      </w:tr>
      <w:tr w:rsidR="006F2C2B" w:rsidRPr="006F2C2B" w:rsidTr="006F2C2B">
        <w:trPr>
          <w:tblCellSpacing w:w="0" w:type="dxa"/>
        </w:trPr>
        <w:tc>
          <w:tcPr>
            <w:tcW w:w="3611"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Poor clinical outcome at follow-up</w:t>
            </w:r>
          </w:p>
        </w:tc>
        <w:tc>
          <w:tcPr>
            <w:tcW w:w="286"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58</w:t>
            </w:r>
          </w:p>
        </w:tc>
        <w:tc>
          <w:tcPr>
            <w:tcW w:w="110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37.7%</w:t>
            </w:r>
          </w:p>
        </w:tc>
      </w:tr>
      <w:tr w:rsidR="006F2C2B" w:rsidRPr="006F2C2B" w:rsidTr="006F2C2B">
        <w:trPr>
          <w:tblCellSpacing w:w="0" w:type="dxa"/>
        </w:trPr>
        <w:tc>
          <w:tcPr>
            <w:tcW w:w="3611"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Recovered pre-fracture mobility</w:t>
            </w:r>
          </w:p>
        </w:tc>
        <w:tc>
          <w:tcPr>
            <w:tcW w:w="286"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78</w:t>
            </w:r>
          </w:p>
        </w:tc>
        <w:tc>
          <w:tcPr>
            <w:tcW w:w="110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50.6%</w:t>
            </w:r>
          </w:p>
        </w:tc>
      </w:tr>
      <w:tr w:rsidR="006F2C2B" w:rsidRPr="006F2C2B" w:rsidTr="006F2C2B">
        <w:trPr>
          <w:tblCellSpacing w:w="0" w:type="dxa"/>
        </w:trPr>
        <w:tc>
          <w:tcPr>
            <w:tcW w:w="3611"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Recovered pre-fracture health-related quality of life</w:t>
            </w:r>
          </w:p>
        </w:tc>
        <w:tc>
          <w:tcPr>
            <w:tcW w:w="286"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82</w:t>
            </w:r>
          </w:p>
        </w:tc>
        <w:tc>
          <w:tcPr>
            <w:tcW w:w="110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53.2%</w:t>
            </w:r>
          </w:p>
        </w:tc>
      </w:tr>
      <w:tr w:rsidR="006F2C2B" w:rsidRPr="006F2C2B" w:rsidTr="006F2C2B">
        <w:trPr>
          <w:tblCellSpacing w:w="0" w:type="dxa"/>
        </w:trPr>
        <w:tc>
          <w:tcPr>
            <w:tcW w:w="3611"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Postoperative delirium</w:t>
            </w:r>
          </w:p>
        </w:tc>
        <w:tc>
          <w:tcPr>
            <w:tcW w:w="286"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18</w:t>
            </w:r>
          </w:p>
        </w:tc>
        <w:tc>
          <w:tcPr>
            <w:tcW w:w="110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11.7%</w:t>
            </w:r>
          </w:p>
        </w:tc>
      </w:tr>
      <w:tr w:rsidR="006F2C2B" w:rsidRPr="006F2C2B" w:rsidTr="006F2C2B">
        <w:trPr>
          <w:tblCellSpacing w:w="0" w:type="dxa"/>
        </w:trPr>
        <w:tc>
          <w:tcPr>
            <w:tcW w:w="3611"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30-day readmission</w:t>
            </w:r>
          </w:p>
        </w:tc>
        <w:tc>
          <w:tcPr>
            <w:tcW w:w="286"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21</w:t>
            </w:r>
          </w:p>
        </w:tc>
        <w:tc>
          <w:tcPr>
            <w:tcW w:w="110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13.6%</w:t>
            </w:r>
          </w:p>
        </w:tc>
      </w:tr>
      <w:tr w:rsidR="006F2C2B" w:rsidRPr="006F2C2B" w:rsidTr="006F2C2B">
        <w:trPr>
          <w:tblCellSpacing w:w="0" w:type="dxa"/>
        </w:trPr>
        <w:tc>
          <w:tcPr>
            <w:tcW w:w="3611"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1-year mortality</w:t>
            </w:r>
          </w:p>
        </w:tc>
        <w:tc>
          <w:tcPr>
            <w:tcW w:w="286"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26</w:t>
            </w:r>
          </w:p>
        </w:tc>
        <w:tc>
          <w:tcPr>
            <w:tcW w:w="110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16.9%</w:t>
            </w:r>
          </w:p>
        </w:tc>
      </w:tr>
      <w:tr w:rsidR="006F2C2B" w:rsidRPr="006F2C2B" w:rsidTr="006F2C2B">
        <w:trPr>
          <w:tblCellSpacing w:w="0" w:type="dxa"/>
        </w:trPr>
        <w:tc>
          <w:tcPr>
            <w:tcW w:w="3611"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Timed Up and Go, seconds</w:t>
            </w:r>
          </w:p>
        </w:tc>
        <w:tc>
          <w:tcPr>
            <w:tcW w:w="286"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154</w:t>
            </w:r>
          </w:p>
        </w:tc>
        <w:tc>
          <w:tcPr>
            <w:tcW w:w="1103"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21.8 ± 8.6</w:t>
            </w:r>
          </w:p>
        </w:tc>
      </w:tr>
      <w:tr w:rsidR="006F2C2B" w:rsidRPr="006F2C2B" w:rsidTr="006F2C2B">
        <w:trPr>
          <w:tblCellSpacing w:w="0" w:type="dxa"/>
        </w:trPr>
        <w:tc>
          <w:tcPr>
            <w:tcW w:w="3611"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lastRenderedPageBreak/>
              <w:t>Functional status score at follow-up</w:t>
            </w:r>
          </w:p>
        </w:tc>
        <w:tc>
          <w:tcPr>
            <w:tcW w:w="286"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154</w:t>
            </w:r>
          </w:p>
        </w:tc>
        <w:tc>
          <w:tcPr>
            <w:tcW w:w="1103"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64.2 ± 18.5</w:t>
            </w:r>
          </w:p>
        </w:tc>
      </w:tr>
    </w:tbl>
    <w:p w:rsidR="006F2C2B" w:rsidRPr="006F2C2B" w:rsidRDefault="006F2C2B" w:rsidP="006F2C2B">
      <w:pPr>
        <w:pStyle w:val="Body"/>
      </w:pPr>
      <w:r w:rsidRPr="006F2C2B">
        <w:t>Inferential analysis identified several significant predictors of poor clinical outcome after hip fracture surgery, as presented in Table 4. Frailty was independently associated with significantly increased odds of poor postoperative recovery (OR: 2.84; 95% CI: 1.43–5.64; p = 0.003). Cognitive impairment also demonstrated a significant association with poor clinical outcome (OR: 2.31; 95% CI: 1.06–5.02; p = 0.035). Similarly, depressive symptoms increased the likelihood of unfavorable postoperative recovery by more than twofold (OR: 2.12; 95% CI: 1.03–4.38; p = 0.041). Patients reporting low functional social support had significantly higher odds of poor recovery outcomes (OR: 1.96; 95% CI: 1.01–3.82; p = 0.047). In contrast, adherence to postoperative rehabilitation programs was protective against poor clinical outcomes and reduced the odds of unfavorable recovery by approximately 54% (OR: 0.46; 95% CI: 0.23–0.91; p = 0.026). Pre-fracture independent ambulation also demonstrated a protective association with postoperative recovery (OR: 0.41; 95% CI: 0.20–0.83; p = 0.014). Although surgical delay greater than 48 hours showed a trend toward poorer outcomes, the association did not achieve statistical significance (OR: 1.78; 95% CI: 0.78–4.05; p = 0.170).</w:t>
      </w:r>
    </w:p>
    <w:p w:rsidR="006F2C2B" w:rsidRPr="006F2C2B" w:rsidRDefault="006F2C2B" w:rsidP="006F2C2B">
      <w:pPr>
        <w:pStyle w:val="Caption"/>
      </w:pPr>
      <w:r w:rsidRPr="006F2C2B">
        <w:t>Table 4. Multivariable Inferential Analysis of Predictors of Poor Clinical Outcome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452"/>
        <w:gridCol w:w="496"/>
        <w:gridCol w:w="1885"/>
        <w:gridCol w:w="1248"/>
        <w:gridCol w:w="946"/>
      </w:tblGrid>
      <w:tr w:rsidR="006F2C2B" w:rsidRPr="006F2C2B" w:rsidTr="006F2C2B">
        <w:trPr>
          <w:tblHeader/>
          <w:tblCellSpacing w:w="0" w:type="dxa"/>
        </w:trPr>
        <w:tc>
          <w:tcPr>
            <w:tcW w:w="2466"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Predictor</w:t>
            </w:r>
          </w:p>
        </w:tc>
        <w:tc>
          <w:tcPr>
            <w:tcW w:w="275"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n</w:t>
            </w:r>
          </w:p>
        </w:tc>
        <w:tc>
          <w:tcPr>
            <w:tcW w:w="1044"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Effect Measure</w:t>
            </w:r>
          </w:p>
        </w:tc>
        <w:tc>
          <w:tcPr>
            <w:tcW w:w="691"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95% CI</w:t>
            </w:r>
          </w:p>
        </w:tc>
        <w:tc>
          <w:tcPr>
            <w:tcW w:w="524" w:type="pct"/>
            <w:tcBorders>
              <w:top w:val="single" w:sz="4" w:space="0" w:color="auto"/>
              <w:bottom w:val="single" w:sz="4" w:space="0" w:color="000000"/>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p-value</w:t>
            </w:r>
          </w:p>
        </w:tc>
      </w:tr>
      <w:tr w:rsidR="006F2C2B" w:rsidRPr="006F2C2B" w:rsidTr="006F2C2B">
        <w:trPr>
          <w:tblCellSpacing w:w="0" w:type="dxa"/>
        </w:trPr>
        <w:tc>
          <w:tcPr>
            <w:tcW w:w="2466"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Frailty present</w:t>
            </w:r>
          </w:p>
        </w:tc>
        <w:tc>
          <w:tcPr>
            <w:tcW w:w="275"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72</w:t>
            </w:r>
          </w:p>
        </w:tc>
        <w:tc>
          <w:tcPr>
            <w:tcW w:w="104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OR 2.84</w:t>
            </w:r>
          </w:p>
        </w:tc>
        <w:tc>
          <w:tcPr>
            <w:tcW w:w="691"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1.43–5.64</w:t>
            </w:r>
          </w:p>
        </w:tc>
        <w:tc>
          <w:tcPr>
            <w:tcW w:w="52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0.003</w:t>
            </w:r>
          </w:p>
        </w:tc>
      </w:tr>
      <w:tr w:rsidR="006F2C2B" w:rsidRPr="006F2C2B" w:rsidTr="006F2C2B">
        <w:trPr>
          <w:tblCellSpacing w:w="0" w:type="dxa"/>
        </w:trPr>
        <w:tc>
          <w:tcPr>
            <w:tcW w:w="2466"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Cognitive impairment</w:t>
            </w:r>
          </w:p>
        </w:tc>
        <w:tc>
          <w:tcPr>
            <w:tcW w:w="275"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39</w:t>
            </w:r>
          </w:p>
        </w:tc>
        <w:tc>
          <w:tcPr>
            <w:tcW w:w="104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OR 2.31</w:t>
            </w:r>
          </w:p>
        </w:tc>
        <w:tc>
          <w:tcPr>
            <w:tcW w:w="691"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1.06–5.02</w:t>
            </w:r>
          </w:p>
        </w:tc>
        <w:tc>
          <w:tcPr>
            <w:tcW w:w="52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0.035</w:t>
            </w:r>
          </w:p>
        </w:tc>
      </w:tr>
      <w:tr w:rsidR="006F2C2B" w:rsidRPr="006F2C2B" w:rsidTr="006F2C2B">
        <w:trPr>
          <w:tblCellSpacing w:w="0" w:type="dxa"/>
        </w:trPr>
        <w:tc>
          <w:tcPr>
            <w:tcW w:w="2466"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Depression symptoms</w:t>
            </w:r>
          </w:p>
        </w:tc>
        <w:tc>
          <w:tcPr>
            <w:tcW w:w="275"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47</w:t>
            </w:r>
          </w:p>
        </w:tc>
        <w:tc>
          <w:tcPr>
            <w:tcW w:w="104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OR 2.12</w:t>
            </w:r>
          </w:p>
        </w:tc>
        <w:tc>
          <w:tcPr>
            <w:tcW w:w="691"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1.03–4.38</w:t>
            </w:r>
          </w:p>
        </w:tc>
        <w:tc>
          <w:tcPr>
            <w:tcW w:w="52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0.041</w:t>
            </w:r>
          </w:p>
        </w:tc>
      </w:tr>
      <w:tr w:rsidR="006F2C2B" w:rsidRPr="006F2C2B" w:rsidTr="006F2C2B">
        <w:trPr>
          <w:tblCellSpacing w:w="0" w:type="dxa"/>
        </w:trPr>
        <w:tc>
          <w:tcPr>
            <w:tcW w:w="2466"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Low social support</w:t>
            </w:r>
          </w:p>
        </w:tc>
        <w:tc>
          <w:tcPr>
            <w:tcW w:w="275"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56</w:t>
            </w:r>
          </w:p>
        </w:tc>
        <w:tc>
          <w:tcPr>
            <w:tcW w:w="104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OR 1.96</w:t>
            </w:r>
          </w:p>
        </w:tc>
        <w:tc>
          <w:tcPr>
            <w:tcW w:w="691"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1.01–3.82</w:t>
            </w:r>
          </w:p>
        </w:tc>
        <w:tc>
          <w:tcPr>
            <w:tcW w:w="52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0.047</w:t>
            </w:r>
          </w:p>
        </w:tc>
      </w:tr>
      <w:tr w:rsidR="006F2C2B" w:rsidRPr="006F2C2B" w:rsidTr="006F2C2B">
        <w:trPr>
          <w:tblCellSpacing w:w="0" w:type="dxa"/>
        </w:trPr>
        <w:tc>
          <w:tcPr>
            <w:tcW w:w="2466"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Rehabilitation adherence</w:t>
            </w:r>
          </w:p>
        </w:tc>
        <w:tc>
          <w:tcPr>
            <w:tcW w:w="275"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101</w:t>
            </w:r>
          </w:p>
        </w:tc>
        <w:tc>
          <w:tcPr>
            <w:tcW w:w="104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OR 0.46</w:t>
            </w:r>
          </w:p>
        </w:tc>
        <w:tc>
          <w:tcPr>
            <w:tcW w:w="691"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0.23–0.91</w:t>
            </w:r>
          </w:p>
        </w:tc>
        <w:tc>
          <w:tcPr>
            <w:tcW w:w="52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0.026</w:t>
            </w:r>
          </w:p>
        </w:tc>
      </w:tr>
      <w:tr w:rsidR="006F2C2B" w:rsidRPr="006F2C2B" w:rsidTr="006F2C2B">
        <w:trPr>
          <w:tblCellSpacing w:w="0" w:type="dxa"/>
        </w:trPr>
        <w:tc>
          <w:tcPr>
            <w:tcW w:w="2466" w:type="pct"/>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Pre-fracture independent ambulation</w:t>
            </w:r>
          </w:p>
        </w:tc>
        <w:tc>
          <w:tcPr>
            <w:tcW w:w="275"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86</w:t>
            </w:r>
          </w:p>
        </w:tc>
        <w:tc>
          <w:tcPr>
            <w:tcW w:w="104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OR 0.41</w:t>
            </w:r>
          </w:p>
        </w:tc>
        <w:tc>
          <w:tcPr>
            <w:tcW w:w="691"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0.20–0.83</w:t>
            </w:r>
          </w:p>
        </w:tc>
        <w:tc>
          <w:tcPr>
            <w:tcW w:w="524" w:type="pct"/>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0.014</w:t>
            </w:r>
          </w:p>
        </w:tc>
      </w:tr>
      <w:tr w:rsidR="006F2C2B" w:rsidRPr="006F2C2B" w:rsidTr="006F2C2B">
        <w:trPr>
          <w:tblCellSpacing w:w="0" w:type="dxa"/>
        </w:trPr>
        <w:tc>
          <w:tcPr>
            <w:tcW w:w="2466"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b/>
                <w:color w:val="000000"/>
                <w:sz w:val="16"/>
              </w:rPr>
            </w:pPr>
            <w:r w:rsidRPr="006F2C2B">
              <w:rPr>
                <w:b/>
                <w:color w:val="000000"/>
                <w:sz w:val="16"/>
              </w:rPr>
              <w:t>Time to surgery &gt;48 hours</w:t>
            </w:r>
          </w:p>
        </w:tc>
        <w:tc>
          <w:tcPr>
            <w:tcW w:w="275"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31</w:t>
            </w:r>
          </w:p>
        </w:tc>
        <w:tc>
          <w:tcPr>
            <w:tcW w:w="1044"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OR 1.78</w:t>
            </w:r>
          </w:p>
        </w:tc>
        <w:tc>
          <w:tcPr>
            <w:tcW w:w="691"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0.78–4.05</w:t>
            </w:r>
          </w:p>
        </w:tc>
        <w:tc>
          <w:tcPr>
            <w:tcW w:w="524" w:type="pct"/>
            <w:tcBorders>
              <w:bottom w:val="single" w:sz="4" w:space="0" w:color="auto"/>
            </w:tcBorders>
            <w:shd w:val="clear" w:color="auto" w:fill="auto"/>
            <w:hideMark/>
          </w:tcPr>
          <w:p w:rsidR="006F2C2B" w:rsidRPr="006F2C2B" w:rsidRDefault="006F2C2B" w:rsidP="006F2C2B">
            <w:pPr>
              <w:pStyle w:val="Body"/>
              <w:spacing w:after="0" w:line="240" w:lineRule="auto"/>
              <w:jc w:val="left"/>
              <w:rPr>
                <w:color w:val="000000"/>
                <w:sz w:val="16"/>
              </w:rPr>
            </w:pPr>
            <w:r w:rsidRPr="006F2C2B">
              <w:rPr>
                <w:color w:val="000000"/>
                <w:sz w:val="16"/>
              </w:rPr>
              <w:t>0.170</w:t>
            </w:r>
          </w:p>
        </w:tc>
      </w:tr>
    </w:tbl>
    <w:p w:rsidR="006F2C2B" w:rsidRPr="006F2C2B" w:rsidRDefault="006F2C2B" w:rsidP="006F2C2B">
      <w:pPr>
        <w:pStyle w:val="Body"/>
      </w:pPr>
      <w:r w:rsidRPr="006F2C2B">
        <w:t xml:space="preserve">Overall, the findings demonstrated that postoperative recovery following hip fracture surgery among older adults was substantially influenced by multidimensional factors involving frailty status, cognitive health, psychological well-being, rehabilitation adherence, and baseline functional mobility. Frailty emerged as the strongest independent predictor of poor clinical outcome, while adherence to rehabilitation programs and preserved pre-fracture ambulation significantly improved postoperative recovery outcomes. </w:t>
      </w:r>
    </w:p>
    <w:p w:rsidR="006F2C2B" w:rsidRPr="006F2C2B" w:rsidRDefault="006F2C2B" w:rsidP="006F2C2B">
      <w:pPr>
        <w:pStyle w:val="Body"/>
      </w:pPr>
      <w:r w:rsidRPr="006F2C2B">
        <w:t>The baseline demographic and perioperative characteristics of the study participants are summarized in Table 1. A total of 154 older adults who underwent hip fracture surgery were included in the analysis, with a mean age of 78.6 ± 7.4 years. Female patients constituted the majority of the cohort (70.8%), reflecting the increased burden of fragility-related hip fractures among elderly women. The mean body mass index was 25.1 ± 4.3 kg/m². Before fracture occurrence, 55.8% of participants were independently ambulatory, whereas 44.2% required walking assistance, indicating substantial baseline functional variability within the study population. Frailty was present in 46.8% of participants, suggesting a considerable proportion of physiologically vulnerable elderly patients. The median time from admission to surgery was 28.0 hours (IQR: 18.0–42.0), while the average hospital stay was 9.4 ± 4.8 days, demonstrating moderate perioperative hospitalization duration among postoperative hip fracture patients.</w:t>
      </w:r>
    </w:p>
    <w:p w:rsidR="006F2C2B" w:rsidRPr="006F2C2B" w:rsidRDefault="006F2C2B" w:rsidP="006F2C2B">
      <w:pPr>
        <w:pStyle w:val="Body"/>
      </w:pPr>
      <w:r w:rsidRPr="006F2C2B">
        <w:t>Clinical comorbidities and rehabilitation-related variables are detailed in Table 2. Hypertension was the most prevalent comorbidity, affecting 61.0% of participants, followed by cardiovascular disease in 33.1% and diabetes mellitus in 27.3% of patients. Chronic kidney disease was identified in 18.2% of the cohort. Cognitive impairment was present in 25.3% of patients, while depressive symptoms were observed in 30.5%, highlighting the substantial neuropsychological burden among elderly hip fracture patients. More than half of the participants (53.9%) had vitamin D deficiency, and 36.4% reported low functional social support during recovery. Postoperative rehabilitation services were received by 78.6% of patients; however, only 65.6% demonstrated adherence to prescribed rehabilitation programs, indicating a clinically important gap between rehabilitation availability and sustained participation.</w:t>
      </w:r>
    </w:p>
    <w:p w:rsidR="006F2C2B" w:rsidRPr="006F2C2B" w:rsidRDefault="006F2C2B" w:rsidP="006F2C2B">
      <w:pPr>
        <w:pStyle w:val="Body"/>
      </w:pPr>
      <w:r w:rsidRPr="006F2C2B">
        <w:t xml:space="preserve">Postoperative clinical outcomes are presented in Table 3. Poor clinical outcome at follow-up occurred in 37.7% of participants, indicating that more than one-third of elderly patients experienced unfavorable postoperative recovery following hip fracture surgery. Recovery of pre-fracture mobility was achieved in 50.6% of patients, while 53.2% regained their pre-fracture health-related quality of life. Postoperative delirium developed in 11.7% of participants, and 13.6% required hospital readmission within 30 days after discharge. One-year mortality was reported in 16.9% of the cohort, reflecting the substantial long-term health burden associated with hip fracture among older adults. Functional mobility assessment demonstrated a mean Timed Up and Go duration of 21.8 ± </w:t>
      </w:r>
      <w:r w:rsidRPr="006F2C2B">
        <w:lastRenderedPageBreak/>
        <w:t>8.6 seconds, suggesting persistent mobility limitation in many participants during follow-up. The mean postoperative functional status score was 64.2 ± 18.5, indicating moderate overall functional recovery across the study population.</w:t>
      </w:r>
    </w:p>
    <w:p w:rsidR="006F2C2B" w:rsidRPr="006F2C2B" w:rsidRDefault="006F2C2B" w:rsidP="006F2C2B">
      <w:pPr>
        <w:pStyle w:val="Body"/>
      </w:pPr>
      <w:r w:rsidRPr="006F2C2B">
        <w:t xml:space="preserve">Inferential analysis findings are summarized in Table 4. Frailty emerged as the strongest independent predictor of poor clinical outcome following hip fracture surgery, increasing the odds of unfavorable recovery by nearly threefold (OR: 2.84; 95% CI: 1.43–5.64; p = 0.003). Cognitive impairment was significantly associated with poor postoperative recovery and doubled the likelihood of adverse outcomes (OR: 2.31; 95% CI: 1.06–5.02; p = 0.035). Similarly, depressive symptoms were associated with significantly impaired functional recovery (OR: 2.12; 95% CI: 1.03–4.38; p = 0.041). Patients with low functional social support demonstrated approximately twofold increased odds of poor clinical outcome (OR: 1.96; 95% CI: 1.01–3.82; p = 0.047). In contrast, adherence to rehabilitation programs significantly reduced the likelihood of poor postoperative recovery by 54% (OR: 0.46; 95% CI: 0.23–0.91; p = 0.026). Pre-fracture independent ambulation also showed a protective association, reducing the odds of poor outcome by nearly 59% (OR: 0.41; 95% CI: 0.20–0.83; p = 0.014). Although delayed surgery beyond 48 hours demonstrated a trend toward poorer postoperative outcomes, the association did not reach statistical significance (OR: 1.78; 95% CI: 0.78–4.05; p = 0.170). Collectively, these findings indicate that postoperative recovery following hip fracture surgery in older adults is strongly influenced by multidimensional factors involving frailty, cognitive status, psychosocial health, and rehabilitation adherence. </w:t>
      </w:r>
    </w:p>
    <w:p w:rsidR="006F2C2B" w:rsidRPr="006F2C2B" w:rsidRDefault="006F2C2B" w:rsidP="00935949">
      <w:pPr>
        <w:pStyle w:val="Body"/>
        <w:jc w:val="center"/>
      </w:pPr>
      <w:r>
        <w:rPr>
          <w:noProof/>
        </w:rPr>
        <w:drawing>
          <wp:inline distT="0" distB="0" distL="0" distR="0">
            <wp:extent cx="4572000" cy="277450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4, 2026, 12_52_15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774500"/>
                    </a:xfrm>
                    <a:prstGeom prst="rect">
                      <a:avLst/>
                    </a:prstGeom>
                  </pic:spPr>
                </pic:pic>
              </a:graphicData>
            </a:graphic>
          </wp:inline>
        </w:drawing>
      </w:r>
      <w:bookmarkStart w:id="0" w:name="_GoBack"/>
      <w:bookmarkEnd w:id="0"/>
    </w:p>
    <w:p w:rsidR="006F2C2B" w:rsidRPr="006F2C2B" w:rsidRDefault="006F2C2B" w:rsidP="006F2C2B">
      <w:pPr>
        <w:pStyle w:val="Caption"/>
      </w:pPr>
      <w:r w:rsidRPr="006F2C2B">
        <w:t>Figure 1. Adjusted Recovery Risk Profile According to Major Clinical Predictors Following Hip Fracture Surgery in Older Adults</w:t>
      </w:r>
    </w:p>
    <w:p w:rsidR="006F2C2B" w:rsidRPr="006F2C2B" w:rsidRDefault="006F2C2B" w:rsidP="006F2C2B">
      <w:pPr>
        <w:pStyle w:val="Body"/>
      </w:pPr>
      <w:r w:rsidRPr="006F2C2B">
        <w:t xml:space="preserve">The adjusted recovery-risk analysis demonstrated substantial heterogeneity in postoperative recovery trajectories among older adults following hip fracture surgery. Frailty showed the strongest adverse association with poor clinical outcome, increasing postoperative recovery risk by nearly threefold (OR: 2.84; 95% CI: 1.43–5.64), followed by cognitive impairment (OR: 2.31) and depressive symptoms (OR: 2.12). Low functional social support was also independently associated with elevated odds of impaired recovery (OR: 1.96), emphasizing the importance of psychosocial determinants in postoperative rehabilitation. In contrast, adherence to rehabilitation programs reduced the likelihood of poor recovery by approximately 54% (OR: 0.46), while pre-fracture independent ambulation demonstrated the strongest protective effect, lowering adverse outcome risk by nearly 59% (OR: 0.41). The distribution of adjusted odds ratios illustrates a clinically meaningful interaction between baseline physiological vulnerability and modifiable rehabilitation-related factors, suggesting that targeted multidisciplinary rehabilitation strategies may substantially improve postoperative recovery outcomes among frail elderly hip fracture patients. </w:t>
      </w:r>
    </w:p>
    <w:p w:rsidR="006F2C2B" w:rsidRPr="006F2C2B" w:rsidRDefault="006F2C2B" w:rsidP="006F2C2B">
      <w:pPr>
        <w:pStyle w:val="Heading1"/>
      </w:pPr>
      <w:r w:rsidRPr="006F2C2B">
        <w:t>Discussion</w:t>
      </w:r>
    </w:p>
    <w:p w:rsidR="006F2C2B" w:rsidRPr="006F2C2B" w:rsidRDefault="006F2C2B" w:rsidP="006F2C2B">
      <w:pPr>
        <w:pStyle w:val="Body"/>
      </w:pPr>
      <w:r w:rsidRPr="006F2C2B">
        <w:t xml:space="preserve">Recovery following hip fracture surgery among older adults is a complex and multidimensional process influenced by physiological reserve, psychological health, baseline functional capacity, and postoperative rehabilitation engagement. The present prospective cohort study evaluated predictors of functional recovery and poor clinical outcomes among elderly patients undergoing hip fracture surgery at Mayo Hospital Lahore and demonstrated that </w:t>
      </w:r>
      <w:r w:rsidRPr="006F2C2B">
        <w:lastRenderedPageBreak/>
        <w:t>frailty, cognitive impairment, depressive symptoms, and low social support were independently associated with adverse postoperative recovery, whereas rehabilitation adherence and preserved pre-fracture ambulation exerted significant protective effects. These findings emphasize that postoperative outcomes after hip fracture surgery are not solely dependent on surgical intervention but are strongly shaped by broader geriatric, psychosocial, and rehabilitation-related determinants.</w:t>
      </w:r>
    </w:p>
    <w:p w:rsidR="006F2C2B" w:rsidRPr="006F2C2B" w:rsidRDefault="006F2C2B" w:rsidP="006F2C2B">
      <w:pPr>
        <w:pStyle w:val="Body"/>
      </w:pPr>
      <w:r w:rsidRPr="006F2C2B">
        <w:t>Frailty emerged as the strongest independent predictor of poor clinical outcome in the present study, increasing the odds of adverse postoperative recovery by nearly threefold. This observation is consistent with previous studies reporting that frailty is associated with delayed functional recovery, prolonged hospitalization, increased dependency, and higher mortality following hip fracture surgery among older adults (21,22). Frailty reflects reduced physiological reserve and impaired stress-response capacity, which may compromise postoperative mobility restoration, rehabilitation participation, and overall recovery potential. Zhao et al. demonstrated that frail older adults undergoing hip fracture surgery experienced significantly poorer quality-of-life outcomes and increased postoperative complications compared with non-frail patients (21). Similarly, Araiza-Nava et al. identified frailty as a major prognostic determinant of both short- and long-term functional recovery after hip fracture (22). The current findings therefore reinforce the importance of routine frailty screening during perioperative orthopedic assessment and support the integration of geriatric co-management models within hip fracture care pathways.</w:t>
      </w:r>
    </w:p>
    <w:p w:rsidR="006F2C2B" w:rsidRPr="006F2C2B" w:rsidRDefault="006F2C2B" w:rsidP="006F2C2B">
      <w:pPr>
        <w:pStyle w:val="Body"/>
      </w:pPr>
      <w:r w:rsidRPr="006F2C2B">
        <w:t>Cognitive impairment was also significantly associated with unfavorable postoperative recovery in the present cohort. Older adults with impaired cognitive status demonstrated more than twofold increased odds of poor clinical outcome after surgery. Cognitive dysfunction may interfere with rehabilitation participation, treatment adherence, gait retraining, and postoperative self-care capacity, thereby limiting functional recovery. Previous investigations have similarly demonstrated that cognitive impairment contributes to delayed mobility recovery, increased institutionalization, and poorer rehabilitation outcomes after hip fracture surgery (23,24). Psychological factors additionally played a substantial role in postoperative recovery trajectories. Depressive symptoms were independently associated with impaired functional recovery, supporting previous evidence suggesting that depression negatively affects rehabilitation engagement, motivation, physical activity levels, and perceived quality of life among elderly orthopedic patients (25). Auais et al. reported that psychological distress significantly influences health-related outcomes following hip fracture and recommended incorporation of mental health assessment into postoperative rehabilitation strategies (25). These findings collectively highlight the necessity of multidisciplinary postoperative management incorporating cognitive and psychological evaluation in addition to orthopedic treatment.</w:t>
      </w:r>
    </w:p>
    <w:p w:rsidR="006F2C2B" w:rsidRPr="006F2C2B" w:rsidRDefault="006F2C2B" w:rsidP="006F2C2B">
      <w:pPr>
        <w:pStyle w:val="Body"/>
      </w:pPr>
      <w:r w:rsidRPr="006F2C2B">
        <w:t>Social support demonstrated a clinically meaningful association with postoperative recovery in the current study. Patients reporting low functional social support experienced significantly poorer recovery outcomes compared with those receiving adequate assistance and caregiving support. Recovery after hip fracture surgery often requires sustained family involvement, mobility assistance, emotional encouragement, and adherence facilitation during rehabilitation. Inadequate social support may contribute to social isolation, reduced rehabilitation participation, and diminished recovery confidence among elderly individuals. Zhu et al. similarly reported that stronger social support was associated with improved rehabilitation outcomes and enhanced postoperative mobility among older adults recovering from hip fracture surgery (26). These findings suggest that postoperative rehabilitation planning should incorporate social and caregiver-related assessments to identify vulnerable patients who may require additional community or institutional support during recovery.</w:t>
      </w:r>
    </w:p>
    <w:p w:rsidR="006F2C2B" w:rsidRPr="006F2C2B" w:rsidRDefault="006F2C2B" w:rsidP="006F2C2B">
      <w:pPr>
        <w:pStyle w:val="Body"/>
      </w:pPr>
      <w:r w:rsidRPr="006F2C2B">
        <w:t xml:space="preserve">One of the most clinically significant findings of the present study was the protective role of rehabilitation adherence. Although postoperative rehabilitation services were received by the majority of participants, only two-thirds adhered consistently to prescribed rehabilitation programs. Patients demonstrating rehabilitation adherence had approximately 54% lower odds of poor clinical outcome compared with non-adherent individuals. Previous evidence has consistently emphasized the importance of structured rehabilitation interventions, including progressive resistance exercises, gait retraining, and multidisciplinary physiotherapy, in restoring mobility and reducing postoperative disability after hip fracture surgery (27,28). Yau et al. further demonstrated that adherence to exercise programs substantially improves functional recovery and physical performance among community-dwelling older adults after hip fracture (29). The present findings therefore suggest that rehabilitation effectiveness depends not merely on rehabilitation availability but also on sustained patient participation and compliance. Strategies aimed at improving adherence, including individualized rehabilitation planning, caregiver involvement, </w:t>
      </w:r>
      <w:r w:rsidRPr="006F2C2B">
        <w:lastRenderedPageBreak/>
        <w:t>tele-rehabilitation support, and structured follow-up, may substantially enhance postoperative outcomes in elderly orthopedic populations.</w:t>
      </w:r>
    </w:p>
    <w:p w:rsidR="006F2C2B" w:rsidRPr="006F2C2B" w:rsidRDefault="006F2C2B" w:rsidP="006F2C2B">
      <w:pPr>
        <w:pStyle w:val="Body"/>
      </w:pPr>
      <w:r w:rsidRPr="006F2C2B">
        <w:t>Pre-fracture independent ambulation also emerged as a significant protective factor against poor clinical outcome. Patients who were independently ambulatory before fracture occurrence experienced substantially better postoperative recovery trajectories compared with those requiring walking assistance prior to injury. Baseline mobility status likely reflects underlying physiological reserve, musculoskeletal strength, balance function, and overall health status, all of which influence postoperative rehabilitation potential. Previous studies have similarly identified pre-fracture gait speed and functional independence as important predictors of postoperative mobility restoration and long-term survival after hip fracture (30,31). The current findings reinforce the importance of baseline functional assessment during perioperative evaluation and may assist clinicians in identifying high-risk patients requiring intensified rehabilitation support.</w:t>
      </w:r>
    </w:p>
    <w:p w:rsidR="006F2C2B" w:rsidRPr="006F2C2B" w:rsidRDefault="006F2C2B" w:rsidP="006F2C2B">
      <w:pPr>
        <w:pStyle w:val="Body"/>
      </w:pPr>
      <w:r w:rsidRPr="006F2C2B">
        <w:t>Although delayed surgery beyond 48 hours demonstrated a trend toward poorer postoperative outcomes, the association did not achieve statistical significance in the present study. Nevertheless, several previous studies have reported that surgical delay may increase complication risk, prolong hospitalization, and impair recovery among elderly hip fracture patients (32). The absence of statistical significance in the current analysis may be related to sample size limitations, institutional surgical prioritization practices, or confounding clinical variables influencing surgical timing. Further multicenter investigations with larger cohorts may help clarify the independent contribution of operative delay to postoperative recovery outcomes within resource-variable healthcare settings.</w:t>
      </w:r>
    </w:p>
    <w:p w:rsidR="006F2C2B" w:rsidRPr="006F2C2B" w:rsidRDefault="006F2C2B" w:rsidP="006F2C2B">
      <w:pPr>
        <w:pStyle w:val="Body"/>
      </w:pPr>
      <w:r w:rsidRPr="006F2C2B">
        <w:t>The present study has important clinical implications for geriatric orthopedic care. The findings support a multidimensional recovery model in which frailty, cognitive function, psychological well-being, social support, and rehabilitation adherence collectively influence postoperative outcomes following hip fracture surgery. Early identification of high-risk individuals may facilitate individualized postoperative rehabilitation planning and targeted multidisciplinary interventions aimed at improving mobility restoration and quality of life. Integration of geriatric assessment services, mental health screening, caregiver education, and structured rehabilitation adherence programs into routine orthopedic care pathways may substantially improve postoperative outcomes among older adults recovering from hip fracture surgery.</w:t>
      </w:r>
    </w:p>
    <w:p w:rsidR="006F2C2B" w:rsidRPr="006F2C2B" w:rsidRDefault="006F2C2B" w:rsidP="006F2C2B">
      <w:pPr>
        <w:pStyle w:val="Body"/>
      </w:pPr>
      <w:r w:rsidRPr="006F2C2B">
        <w:t>Several limitations should be considered while interpreting the study findings. First, the study was conducted at a single tertiary-care institution, which may limit generalizability to other healthcare settings or populations. Second, although multivariable analysis was performed, residual confounding from unmeasured clinical or socioeconomic variables cannot be completely excluded. Third, rehabilitation adherence was partly dependent on patient-reported compliance, which may introduce reporting bias. Fourth, the observational design precludes definitive causal inference despite prospective follow-up. Nevertheless, the prospective cohort methodology, comprehensive multidimensional assessment, and clinically relevant outcome evaluation strengthen the validity and applicability of the study findings.</w:t>
      </w:r>
    </w:p>
    <w:p w:rsidR="006F2C2B" w:rsidRPr="006F2C2B" w:rsidRDefault="006F2C2B" w:rsidP="006F2C2B">
      <w:pPr>
        <w:pStyle w:val="Body"/>
      </w:pPr>
      <w:r w:rsidRPr="006F2C2B">
        <w:t xml:space="preserve">Overall, the present study contributes important regional evidence regarding predictors of postoperative recovery after hip fracture surgery among older adults in a tertiary-care South Asian setting. The findings underscore the critical role of multidisciplinary geriatric rehabilitation strategies and highlight the importance of addressing frailty, psychological health, cognitive status, social support, and rehabilitation adherence to optimize functional recovery following hip fracture surgery in elderly populations. </w:t>
      </w:r>
    </w:p>
    <w:p w:rsidR="006F2C2B" w:rsidRPr="006F2C2B" w:rsidRDefault="006F2C2B" w:rsidP="006F2C2B">
      <w:pPr>
        <w:pStyle w:val="Heading1"/>
      </w:pPr>
      <w:r w:rsidRPr="006F2C2B">
        <w:t>Conclusion</w:t>
      </w:r>
    </w:p>
    <w:p w:rsidR="006F2C2B" w:rsidRPr="006F2C2B" w:rsidRDefault="006F2C2B" w:rsidP="006F2C2B">
      <w:pPr>
        <w:pStyle w:val="Body"/>
      </w:pPr>
      <w:r w:rsidRPr="006F2C2B">
        <w:t xml:space="preserve">In conclusion, postoperative recovery following hip fracture surgery among older adults is strongly influenced by multidimensional clinical, psychological, functional, and rehabilitation-related factors. The present prospective cohort study demonstrated that frailty, cognitive impairment, depressive symptoms, and low functional social support were significant independent predictors of poor clinical outcome, whereas adherence to rehabilitation programs and preserved pre-fracture independent ambulation were associated with improved postoperative recovery. These findings emphasize the importance of comprehensive geriatric assessment and multidisciplinary postoperative management strategies that extend beyond surgical treatment alone. Early identification of high-risk patients and implementation of individualized rehabilitation interventions may enhance mobility restoration, improve functional independence, reduce adverse postoperative outcomes, and optimize health-related quality of life among older adults recovering from hip fracture surgery. The study further highlights the need for integrated </w:t>
      </w:r>
      <w:r w:rsidRPr="006F2C2B">
        <w:lastRenderedPageBreak/>
        <w:t xml:space="preserve">orthopedic, geriatric, psychological, and rehabilitative care models within tertiary healthcare settings to improve recovery outcomes in elderly hip fracture populations. </w:t>
      </w:r>
    </w:p>
    <w:p w:rsidR="006F2C2B" w:rsidRPr="006F2C2B" w:rsidRDefault="006F2C2B" w:rsidP="006F2C2B">
      <w:pPr>
        <w:pStyle w:val="Heading1"/>
      </w:pPr>
      <w:r w:rsidRPr="006F2C2B">
        <w:t>References</w:t>
      </w:r>
    </w:p>
    <w:p w:rsidR="006F2C2B" w:rsidRPr="006F2C2B" w:rsidRDefault="006F2C2B" w:rsidP="006F2C2B">
      <w:pPr>
        <w:pStyle w:val="Body"/>
        <w:numPr>
          <w:ilvl w:val="0"/>
          <w:numId w:val="18"/>
        </w:numPr>
      </w:pPr>
      <w:r w:rsidRPr="006F2C2B">
        <w:t xml:space="preserve">Dyer SM, Diong J, Crotty M, Sherrington C. Rehabilitation following hip fracture. In: Practical Issues in Geriatrics. Cham: Springer; 2020. doi:10.1007/978-3-319-43249-6_10 </w:t>
      </w:r>
    </w:p>
    <w:p w:rsidR="006F2C2B" w:rsidRPr="006F2C2B" w:rsidRDefault="006F2C2B" w:rsidP="006F2C2B">
      <w:pPr>
        <w:pStyle w:val="Body"/>
        <w:numPr>
          <w:ilvl w:val="0"/>
          <w:numId w:val="18"/>
        </w:numPr>
      </w:pPr>
      <w:r w:rsidRPr="006F2C2B">
        <w:t xml:space="preserve">O’Connor M, Switzer J. AAOS clinical practice guideline summary: Management of hip fractures in older adults. J Am Acad Orthop Surg. 2022. doi:10.5435/JAAOS-D-22-00125 </w:t>
      </w:r>
    </w:p>
    <w:p w:rsidR="006F2C2B" w:rsidRPr="006F2C2B" w:rsidRDefault="006F2C2B" w:rsidP="006F2C2B">
      <w:pPr>
        <w:pStyle w:val="Body"/>
        <w:numPr>
          <w:ilvl w:val="0"/>
          <w:numId w:val="18"/>
        </w:numPr>
      </w:pPr>
      <w:r w:rsidRPr="006F2C2B">
        <w:t xml:space="preserve">McDonough CM, Harris-Hayes M, Kristensen MT, Overgaard JA, Herring TB, Kenny AM, et al. Physical therapy management of older adults with hip fracture. J Orthop Sports Phys Ther. 2021. doi:10.2519/jospt.2021.0301 </w:t>
      </w:r>
    </w:p>
    <w:p w:rsidR="006F2C2B" w:rsidRPr="006F2C2B" w:rsidRDefault="006F2C2B" w:rsidP="006F2C2B">
      <w:pPr>
        <w:pStyle w:val="Body"/>
        <w:numPr>
          <w:ilvl w:val="0"/>
          <w:numId w:val="18"/>
        </w:numPr>
      </w:pPr>
      <w:r w:rsidRPr="006F2C2B">
        <w:t xml:space="preserve">Talevski J, Sanders KM, Vogrin SJ, Duque G, Beauchamp A, Seeman E, et al. Recovery of quality of life is associated with lower mortality 5-year post-fracture: the Australian arm of the International Costs and Utilities Related to Osteoporotic Fractures Study. Arch Osteoporos. 2021. doi:10.1007/s11657-021-00981-y </w:t>
      </w:r>
    </w:p>
    <w:p w:rsidR="006F2C2B" w:rsidRPr="006F2C2B" w:rsidRDefault="006F2C2B" w:rsidP="006F2C2B">
      <w:pPr>
        <w:pStyle w:val="Body"/>
        <w:numPr>
          <w:ilvl w:val="0"/>
          <w:numId w:val="18"/>
        </w:numPr>
      </w:pPr>
      <w:r w:rsidRPr="006F2C2B">
        <w:t xml:space="preserve">Omar A, Cumal A, Vellani S, Krassikova A, Lapenskie J, Bayly M, et al. Health and social interventions to restore physical function of older adults post-hip fracture: a scoping review. BMJ Open. 2021. doi:10.1136/bmjopen-2021-053992 </w:t>
      </w:r>
    </w:p>
    <w:p w:rsidR="006F2C2B" w:rsidRPr="006F2C2B" w:rsidRDefault="006F2C2B" w:rsidP="006F2C2B">
      <w:pPr>
        <w:pStyle w:val="Body"/>
        <w:numPr>
          <w:ilvl w:val="0"/>
          <w:numId w:val="18"/>
        </w:numPr>
      </w:pPr>
      <w:r w:rsidRPr="006F2C2B">
        <w:t xml:space="preserve">Araiza-Nava B, Méndez-Sánchez L, Clark P, Peralta-Pedrero ML, Javaid M, Caló M, et al. Short- and long-term prognostic factors associated with functional recovery in elderly patients with hip fracture: a systematic review. Osteoporos Int. 2022. doi:10.1007/s00198-022-06346-6 </w:t>
      </w:r>
    </w:p>
    <w:p w:rsidR="006F2C2B" w:rsidRPr="006F2C2B" w:rsidRDefault="006F2C2B" w:rsidP="006F2C2B">
      <w:pPr>
        <w:pStyle w:val="Body"/>
        <w:numPr>
          <w:ilvl w:val="0"/>
          <w:numId w:val="18"/>
        </w:numPr>
      </w:pPr>
      <w:r w:rsidRPr="006F2C2B">
        <w:t xml:space="preserve">Min K, Beom J, Kim BR, Lee SY, Lee G, Lee JH, et al. Clinical practice guideline for postoperative rehabilitation in older patients with hip fractures. Ann Rehabil Med. 2021. doi:10.5535/arm.21110 </w:t>
      </w:r>
    </w:p>
    <w:p w:rsidR="006F2C2B" w:rsidRPr="006F2C2B" w:rsidRDefault="006F2C2B" w:rsidP="006F2C2B">
      <w:pPr>
        <w:pStyle w:val="Body"/>
        <w:numPr>
          <w:ilvl w:val="0"/>
          <w:numId w:val="18"/>
        </w:numPr>
      </w:pPr>
      <w:r w:rsidRPr="006F2C2B">
        <w:t xml:space="preserve">Zhao H, Wei P, Feng Y. Association between frailty and clinical outcomes and quality of life in older adults following hip fracture surgery: a retrospective cohort study. Anesth Analg. 2021;134(5):1035-1042. doi:10.1213/ANE.0000000000005841 </w:t>
      </w:r>
    </w:p>
    <w:p w:rsidR="006F2C2B" w:rsidRPr="006F2C2B" w:rsidRDefault="006F2C2B" w:rsidP="006F2C2B">
      <w:pPr>
        <w:pStyle w:val="Body"/>
        <w:numPr>
          <w:ilvl w:val="0"/>
          <w:numId w:val="18"/>
        </w:numPr>
      </w:pPr>
      <w:r w:rsidRPr="006F2C2B">
        <w:t xml:space="preserve">Auais M, Sousa TAC, Feng C, Gill S, French SD. Understanding the relationship between psychological factors and important health outcomes in older adults with hip fracture: a structured scoping review. Arch Gerontol Geriatr. 2022;101:104666. doi:10.1016/j.archger.2022.104666 </w:t>
      </w:r>
    </w:p>
    <w:p w:rsidR="006F2C2B" w:rsidRPr="006F2C2B" w:rsidRDefault="006F2C2B" w:rsidP="006F2C2B">
      <w:pPr>
        <w:pStyle w:val="Body"/>
        <w:numPr>
          <w:ilvl w:val="0"/>
          <w:numId w:val="18"/>
        </w:numPr>
      </w:pPr>
      <w:r w:rsidRPr="006F2C2B">
        <w:t xml:space="preserve">Zhu Y, Xu B, Low SG, Low LL. Association of social support with rehabilitation outcome among older adults with hip fracture surgery: a prospective cohort study at post-acute care facility in Asia. J Am Med Dir Assoc. 2023. doi:10.1016/j.jamda.2023.03.034 </w:t>
      </w:r>
    </w:p>
    <w:p w:rsidR="006F2C2B" w:rsidRPr="006F2C2B" w:rsidRDefault="006F2C2B" w:rsidP="006F2C2B">
      <w:pPr>
        <w:pStyle w:val="Body"/>
        <w:numPr>
          <w:ilvl w:val="0"/>
          <w:numId w:val="18"/>
        </w:numPr>
      </w:pPr>
      <w:r w:rsidRPr="006F2C2B">
        <w:t xml:space="preserve">Ramadi A, Ezeugwu V, Weber S, Funabashi M, Lima CA, Perracini M, et al. Progressive resistance training program characteristics in rehabilitation programs following hip fracture: a meta-analysis and meta-regression. Geriatr Orthop Surg Rehabil. 2022;13:21514593221090799. doi:10.1177/21514593221090799 </w:t>
      </w:r>
    </w:p>
    <w:p w:rsidR="006F2C2B" w:rsidRPr="006F2C2B" w:rsidRDefault="006F2C2B" w:rsidP="006F2C2B">
      <w:pPr>
        <w:pStyle w:val="Body"/>
        <w:numPr>
          <w:ilvl w:val="0"/>
          <w:numId w:val="18"/>
        </w:numPr>
      </w:pPr>
      <w:r w:rsidRPr="006F2C2B">
        <w:t xml:space="preserve">Ortiz-Piña M, Molina-García P, Femia P, Ashe MC, Martín-Martín L, Salazar-Graván S, et al. Effects of tele-rehabilitation compared with home-based in-person rehabilitation for older adults’ function after hip fracture. Int J Environ Res Public Health. 2021;18(10):5493. doi:10.3390/ijerph18105493 </w:t>
      </w:r>
    </w:p>
    <w:p w:rsidR="006F2C2B" w:rsidRPr="006F2C2B" w:rsidRDefault="006F2C2B" w:rsidP="006F2C2B">
      <w:pPr>
        <w:pStyle w:val="Body"/>
        <w:numPr>
          <w:ilvl w:val="0"/>
          <w:numId w:val="18"/>
        </w:numPr>
      </w:pPr>
      <w:r w:rsidRPr="006F2C2B">
        <w:t xml:space="preserve">Yau L, Soutter K, Ekegren C, Hill K, Ashe M, Soh SE. Adherence to exercise programs in community-dwelling older adults post-discharge for hip fracture: a systematic review and meta-analysis. Arch Phys Med Rehabil. 2022. doi:10.1016/j.apmr.2022.01.145 </w:t>
      </w:r>
    </w:p>
    <w:p w:rsidR="006F2C2B" w:rsidRPr="006F2C2B" w:rsidRDefault="006F2C2B" w:rsidP="006F2C2B">
      <w:pPr>
        <w:pStyle w:val="Body"/>
        <w:numPr>
          <w:ilvl w:val="0"/>
          <w:numId w:val="18"/>
        </w:numPr>
      </w:pPr>
      <w:r w:rsidRPr="006F2C2B">
        <w:t xml:space="preserve">Ruggiero C, Baroni M, Talesa G, Cirimbilli A, Prenni V, Bubba V, et al. The interdisciplinary fracture liaison service improves health-related outcomes and survival of older adults after hip fracture surgical repair. Arch Osteoporos. 2022. doi:10.1007/s11657-022-01171-0 </w:t>
      </w:r>
    </w:p>
    <w:p w:rsidR="006F2C2B" w:rsidRPr="006F2C2B" w:rsidRDefault="006F2C2B" w:rsidP="006F2C2B">
      <w:pPr>
        <w:pStyle w:val="Body"/>
        <w:numPr>
          <w:ilvl w:val="0"/>
          <w:numId w:val="18"/>
        </w:numPr>
      </w:pPr>
      <w:r w:rsidRPr="006F2C2B">
        <w:lastRenderedPageBreak/>
        <w:t xml:space="preserve">Munter L de, van der Ree CLP, van der Jagt OP, Gosens T, Maas H, de Jongh MAD. Trajectories and prognostic factors for recovery after hip fracture: a longitudinal cohort study. Int Orthop. 2022. doi:10.1007/s00264-022-05561-4 </w:t>
      </w:r>
    </w:p>
    <w:p w:rsidR="006F2C2B" w:rsidRPr="006F2C2B" w:rsidRDefault="006F2C2B" w:rsidP="006F2C2B">
      <w:pPr>
        <w:pStyle w:val="Body"/>
        <w:numPr>
          <w:ilvl w:val="0"/>
          <w:numId w:val="18"/>
        </w:numPr>
      </w:pPr>
      <w:r w:rsidRPr="006F2C2B">
        <w:t xml:space="preserve">Southwell J, Potter C, Wyatt D, Sadler E, Sheehan K. Older adults’ perceptions of early rehabilitation and recovery after hip fracture surgery: a UK qualitative study. Disabil Rehabil. 2020. doi:10.1080/09638288.2020.1783002 </w:t>
      </w:r>
    </w:p>
    <w:p w:rsidR="006F2C2B" w:rsidRPr="006F2C2B" w:rsidRDefault="006F2C2B" w:rsidP="006F2C2B">
      <w:pPr>
        <w:pStyle w:val="Body"/>
        <w:numPr>
          <w:ilvl w:val="0"/>
          <w:numId w:val="18"/>
        </w:numPr>
      </w:pPr>
      <w:r w:rsidRPr="006F2C2B">
        <w:t xml:space="preserve">Koivunen K, Sillanpää E, von Bonsdorff MB, Sakari R, Törmäkangas T, Rantanen T. Mortality risk among older people who did vs. did not sustain a fracture: baseline pre-fracture strength and gait speed as predictors in a 15-year follow-up. J Gerontol A Biol Sci Med Sci. 2020. doi:10.1093/gerona/glz251 </w:t>
      </w:r>
    </w:p>
    <w:p w:rsidR="006F2C2B" w:rsidRPr="006F2C2B" w:rsidRDefault="006F2C2B" w:rsidP="006F2C2B">
      <w:pPr>
        <w:pStyle w:val="Body"/>
        <w:numPr>
          <w:ilvl w:val="0"/>
          <w:numId w:val="18"/>
        </w:numPr>
      </w:pPr>
      <w:r w:rsidRPr="006F2C2B">
        <w:t xml:space="preserve">Villaumbrosia CG de, Barba R, Ojeda-Thies C, Grifol-Clar E, Álvarez-Díaz N, Álvarez-Espejo T, et al. Predictive factors of gait recovery after hip fracture: a scoping review. Age Ageing. 2025. doi:10.1093/ageing/afaf057 </w:t>
      </w:r>
    </w:p>
    <w:p w:rsidR="006F2C2B" w:rsidRPr="006F2C2B" w:rsidRDefault="006F2C2B" w:rsidP="006F2C2B">
      <w:pPr>
        <w:pStyle w:val="Body"/>
        <w:numPr>
          <w:ilvl w:val="0"/>
          <w:numId w:val="18"/>
        </w:numPr>
      </w:pPr>
      <w:r w:rsidRPr="006F2C2B">
        <w:t xml:space="preserve">Ariza JMZ, Rodríguez GV, Álvarez GAY, Cobo EM. Factores de riesgo y recuperación posquirúrgica de las fracturas de cadera en adultos mayores. Arch Med. 2025. doi:10.30554/archmed.25.2.5318.2025 </w:t>
      </w:r>
    </w:p>
    <w:p w:rsidR="006F2C2B" w:rsidRPr="006F2C2B" w:rsidRDefault="006F2C2B" w:rsidP="006F2C2B">
      <w:pPr>
        <w:pStyle w:val="Body"/>
        <w:numPr>
          <w:ilvl w:val="0"/>
          <w:numId w:val="18"/>
        </w:numPr>
      </w:pPr>
      <w:r w:rsidRPr="006F2C2B">
        <w:t xml:space="preserve">Karlsson Å, Olofsson B, Stenvall M, Lindelöf N. Older adults’ perspectives on rehabilitation and recovery one year after a hip fracture: a qualitative study. BMC Geriatr. 2022. doi:10.1186/s12877-022-03119-y </w:t>
      </w:r>
    </w:p>
    <w:p w:rsidR="006F2C2B" w:rsidRPr="006F2C2B" w:rsidRDefault="006F2C2B" w:rsidP="006F2C2B">
      <w:pPr>
        <w:pStyle w:val="Body"/>
      </w:pPr>
    </w:p>
    <w:p w:rsidR="006F2C2B" w:rsidRPr="006F2C2B" w:rsidRDefault="006F2C2B" w:rsidP="006F2C2B">
      <w:pPr>
        <w:pStyle w:val="Body"/>
      </w:pPr>
    </w:p>
    <w:p w:rsidR="00441E67" w:rsidRPr="006F2C2B" w:rsidRDefault="00441E67" w:rsidP="006F2C2B">
      <w:pPr>
        <w:pStyle w:val="Body"/>
      </w:pPr>
    </w:p>
    <w:sectPr w:rsidR="00441E67" w:rsidRPr="006F2C2B"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786" w:rsidRDefault="00712786" w:rsidP="005146DA">
      <w:pPr>
        <w:spacing w:after="0" w:line="240" w:lineRule="auto"/>
      </w:pPr>
      <w:r>
        <w:separator/>
      </w:r>
    </w:p>
  </w:endnote>
  <w:endnote w:type="continuationSeparator" w:id="0">
    <w:p w:rsidR="00712786" w:rsidRDefault="00712786"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786" w:rsidRDefault="00712786" w:rsidP="005146DA">
      <w:pPr>
        <w:spacing w:after="0" w:line="240" w:lineRule="auto"/>
      </w:pPr>
      <w:r>
        <w:separator/>
      </w:r>
    </w:p>
  </w:footnote>
  <w:footnote w:type="continuationSeparator" w:id="0">
    <w:p w:rsidR="00712786" w:rsidRDefault="00712786"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6F2C2B">
          <w:rPr>
            <w:rStyle w:val="BodyChar"/>
            <w:rFonts w:cstheme="majorBidi"/>
            <w:color w:val="074F6A"/>
            <w:sz w:val="18"/>
            <w:vertAlign w:val="subscript"/>
          </w:rPr>
          <w:t>2001</w:t>
        </w:r>
        <w:r w:rsidRPr="008F6C61">
          <w:rPr>
            <w:rStyle w:val="BodyChar"/>
            <w:rFonts w:cstheme="majorBidi"/>
            <w:color w:val="074F6A"/>
            <w:sz w:val="18"/>
            <w:vertAlign w:val="subscript"/>
          </w:rPr>
          <w:t xml:space="preserve">| </w:t>
        </w:r>
        <w:r w:rsidR="001D7633">
          <w:rPr>
            <w:rStyle w:val="BodyChar"/>
            <w:rFonts w:cstheme="majorBidi"/>
            <w:color w:val="074F6A"/>
            <w:sz w:val="18"/>
            <w:vertAlign w:val="subscript"/>
          </w:rPr>
          <w:t>2026</w:t>
        </w:r>
        <w:r w:rsidRPr="008F6C61">
          <w:rPr>
            <w:rStyle w:val="BodyChar"/>
            <w:rFonts w:cstheme="majorBidi"/>
            <w:color w:val="074F6A"/>
            <w:sz w:val="18"/>
            <w:vertAlign w:val="subscript"/>
          </w:rPr>
          <w:t>;</w:t>
        </w:r>
        <w:r w:rsidR="001D7633">
          <w:rPr>
            <w:rStyle w:val="BodyChar"/>
            <w:rFonts w:cstheme="majorBidi"/>
            <w:color w:val="074F6A"/>
            <w:sz w:val="18"/>
            <w:vertAlign w:val="subscript"/>
          </w:rPr>
          <w:t>6</w:t>
        </w:r>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935949" w:rsidRPr="00935949">
          <w:rPr>
            <w:rStyle w:val="BodyChar"/>
            <w:rFonts w:cstheme="majorBidi"/>
            <w:noProof/>
            <w:color w:val="074F6A"/>
            <w:vertAlign w:val="subscript"/>
          </w:rPr>
          <w:t>6</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6F2C2B" w:rsidRPr="006F2C2B">
      <w:t xml:space="preserve"> </w:t>
    </w:r>
    <w:r w:rsidR="006F2C2B" w:rsidRPr="006F2C2B">
      <w:rPr>
        <w:rFonts w:ascii="Plantagenet Cherokee" w:hAnsi="Plantagenet Cherokee"/>
        <w:color w:val="0B769F" w:themeColor="accent4" w:themeShade="BF"/>
        <w:sz w:val="14"/>
        <w:szCs w:val="14"/>
      </w:rPr>
      <w:t>10.61919/jhrr.v6i4.2001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814CAD"/>
    <w:multiLevelType w:val="hybridMultilevel"/>
    <w:tmpl w:val="BF7C7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7">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005D8B"/>
    <w:multiLevelType w:val="multilevel"/>
    <w:tmpl w:val="BD621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7"/>
  </w:num>
  <w:num w:numId="4">
    <w:abstractNumId w:val="13"/>
  </w:num>
  <w:num w:numId="5">
    <w:abstractNumId w:val="14"/>
  </w:num>
  <w:num w:numId="6">
    <w:abstractNumId w:val="3"/>
  </w:num>
  <w:num w:numId="7">
    <w:abstractNumId w:val="16"/>
  </w:num>
  <w:num w:numId="8">
    <w:abstractNumId w:val="10"/>
  </w:num>
  <w:num w:numId="9">
    <w:abstractNumId w:val="1"/>
  </w:num>
  <w:num w:numId="10">
    <w:abstractNumId w:val="12"/>
  </w:num>
  <w:num w:numId="11">
    <w:abstractNumId w:val="2"/>
  </w:num>
  <w:num w:numId="12">
    <w:abstractNumId w:val="0"/>
  </w:num>
  <w:num w:numId="13">
    <w:abstractNumId w:val="5"/>
  </w:num>
  <w:num w:numId="14">
    <w:abstractNumId w:val="8"/>
  </w:num>
  <w:num w:numId="15">
    <w:abstractNumId w:val="17"/>
  </w:num>
  <w:num w:numId="16">
    <w:abstractNumId w:val="11"/>
  </w:num>
  <w:num w:numId="17">
    <w:abstractNumId w:val="9"/>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2B"/>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2C2B"/>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2786"/>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35949"/>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4:docId w14:val="3F8211ED"/>
  <w15:chartTrackingRefBased/>
  <w15:docId w15:val="{179706F1-56E6-42C8-8A90-105432D1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2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9B5CC-30D1-4D21-BF37-E1D23BF6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11</TotalTime>
  <Pages>10</Pages>
  <Words>6472</Words>
  <Characters>36896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1</cp:revision>
  <cp:lastPrinted>2026-04-24T11:38:00Z</cp:lastPrinted>
  <dcterms:created xsi:type="dcterms:W3CDTF">2026-06-04T07:40:00Z</dcterms:created>
  <dcterms:modified xsi:type="dcterms:W3CDTF">2026-06-04T07:52:00Z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