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1B5" w:rsidRPr="0074006B" w:rsidRDefault="00EB21B5" w:rsidP="00FB11F4">
      <w:pPr>
        <w:pStyle w:val="NoSpacing"/>
        <w:spacing w:before="75" w:after="75"/>
        <w:rPr>
          <w:rFonts w:ascii="Plantagenet Cherokee" w:hAnsi="Plantagenet Cherokee" w:cstheme="majorBidi"/>
          <w:i/>
          <w:iCs/>
          <w:color w:val="000000" w:themeColor="text1"/>
          <w:sz w:val="16"/>
          <w:szCs w:val="16"/>
        </w:rPr>
      </w:pPr>
      <w:r w:rsidRPr="0074006B">
        <w:rPr>
          <w:rFonts w:ascii="Plantagenet Cherokee" w:hAnsi="Plantagenet Cherokee" w:cstheme="majorBidi"/>
          <w:i/>
          <w:iCs/>
          <w:color w:val="000000" w:themeColor="text1"/>
          <w:sz w:val="16"/>
          <w:szCs w:val="16"/>
        </w:rPr>
        <w:t>Original Article</w:t>
      </w:r>
    </w:p>
    <w:p w:rsidR="009C0B6D" w:rsidRPr="009C0B6D" w:rsidRDefault="009C0B6D" w:rsidP="009C0B6D">
      <w:pPr>
        <w:pStyle w:val="Body"/>
        <w:spacing w:before="75" w:after="100"/>
        <w:rPr>
          <w:rFonts w:cstheme="majorBidi"/>
          <w:b/>
          <w:bCs/>
          <w:color w:val="000000" w:themeColor="text1"/>
          <w:sz w:val="36"/>
          <w:szCs w:val="36"/>
        </w:rPr>
      </w:pPr>
      <w:r w:rsidRPr="009C0B6D">
        <w:rPr>
          <w:rFonts w:cstheme="majorBidi"/>
          <w:b/>
          <w:bCs/>
          <w:color w:val="000000" w:themeColor="text1"/>
          <w:sz w:val="36"/>
          <w:szCs w:val="36"/>
        </w:rPr>
        <w:t>Diagnostic Accuracy of Ultrasonography in the Evaluation of Rotator Cuff Disorders in Patients With Shoulder Pain at Mayo Hospital Lahore</w:t>
      </w:r>
    </w:p>
    <w:p w:rsidR="00E202E9" w:rsidRPr="00BB7230" w:rsidRDefault="007C1877" w:rsidP="007C1877">
      <w:pPr>
        <w:pStyle w:val="Body"/>
        <w:spacing w:before="75" w:after="100"/>
        <w:rPr>
          <w:rFonts w:cstheme="majorBidi"/>
          <w:b/>
          <w:bCs/>
          <w:color w:val="074F6A" w:themeColor="accent4" w:themeShade="80"/>
          <w:sz w:val="24"/>
          <w:szCs w:val="24"/>
        </w:rPr>
      </w:pPr>
      <w:r w:rsidRPr="007C1877">
        <w:rPr>
          <w:rFonts w:cstheme="majorBidi"/>
          <w:b/>
          <w:bCs/>
          <w:color w:val="074F6A" w:themeColor="accent4" w:themeShade="80"/>
          <w:sz w:val="24"/>
          <w:szCs w:val="24"/>
        </w:rPr>
        <w:t xml:space="preserve">Dr. </w:t>
      </w:r>
      <w:r w:rsidR="009C0B6D" w:rsidRPr="009C0B6D">
        <w:rPr>
          <w:rFonts w:cstheme="majorBidi"/>
          <w:b/>
          <w:bCs/>
          <w:color w:val="074F6A" w:themeColor="accent4" w:themeShade="80"/>
          <w:sz w:val="24"/>
          <w:szCs w:val="24"/>
          <w:lang w:val="en-GB"/>
        </w:rPr>
        <w:t xml:space="preserve">Hadia Abbas </w:t>
      </w:r>
      <w:r w:rsidRPr="007C1877">
        <w:rPr>
          <w:rFonts w:cstheme="majorBidi"/>
          <w:b/>
          <w:bCs/>
          <w:color w:val="074F6A" w:themeColor="accent4" w:themeShade="80"/>
          <w:sz w:val="24"/>
          <w:szCs w:val="24"/>
        </w:rPr>
        <w:t>¹</w:t>
      </w:r>
    </w:p>
    <w:p w:rsidR="00607EA1" w:rsidRPr="00BB7230" w:rsidRDefault="007C1877" w:rsidP="004175AC">
      <w:pPr>
        <w:pStyle w:val="Body"/>
        <w:spacing w:before="75" w:after="75" w:line="240" w:lineRule="auto"/>
        <w:rPr>
          <w:rFonts w:cstheme="majorBidi"/>
          <w:color w:val="000000" w:themeColor="text1"/>
          <w:sz w:val="18"/>
          <w:szCs w:val="16"/>
        </w:rPr>
      </w:pPr>
      <w:r w:rsidRPr="007C1877">
        <w:rPr>
          <w:rFonts w:cstheme="majorBidi"/>
          <w:color w:val="000000" w:themeColor="text1"/>
          <w:sz w:val="18"/>
          <w:szCs w:val="16"/>
        </w:rPr>
        <w:t>¹</w:t>
      </w:r>
      <w:r w:rsidR="009C0B6D" w:rsidRPr="009C0B6D">
        <w:rPr>
          <w:rFonts w:asciiTheme="minorHAnsi" w:hAnsiTheme="minorHAnsi" w:cstheme="minorBidi"/>
          <w:kern w:val="0"/>
          <w:sz w:val="22"/>
          <w:szCs w:val="22"/>
          <w14:ligatures w14:val="none"/>
        </w:rPr>
        <w:t xml:space="preserve"> </w:t>
      </w:r>
      <w:r w:rsidR="009C0B6D" w:rsidRPr="009C0B6D">
        <w:rPr>
          <w:rFonts w:cstheme="majorBidi"/>
          <w:color w:val="000000" w:themeColor="text1"/>
          <w:sz w:val="18"/>
          <w:szCs w:val="16"/>
          <w:lang w:val="en-GB"/>
        </w:rPr>
        <w:t xml:space="preserve">MARS institute of health science, Lahore </w:t>
      </w:r>
      <w:r w:rsidRPr="007C1877">
        <w:rPr>
          <w:rFonts w:cstheme="majorBidi"/>
          <w:color w:val="000000" w:themeColor="text1"/>
          <w:sz w:val="18"/>
          <w:szCs w:val="16"/>
        </w:rPr>
        <w:t>Pakistan</w:t>
      </w:r>
    </w:p>
    <w:p w:rsidR="006461E1" w:rsidRDefault="00ED10B5" w:rsidP="00A32C7B">
      <w:pPr>
        <w:pStyle w:val="Body"/>
        <w:jc w:val="left"/>
        <w:rPr>
          <w:rFonts w:cstheme="majorBidi"/>
          <w:b/>
          <w:bCs/>
          <w:color w:val="074F6A" w:themeColor="accent4" w:themeShade="80"/>
          <w:sz w:val="18"/>
          <w:szCs w:val="16"/>
          <w:lang w:val="pt-BR"/>
        </w:rPr>
      </w:pPr>
      <w:r w:rsidRPr="007C1877">
        <w:rPr>
          <w:rFonts w:cstheme="majorBidi"/>
          <w:b/>
          <w:bCs/>
          <w:color w:val="074F6A" w:themeColor="accent4" w:themeShade="80"/>
          <w:sz w:val="18"/>
          <w:szCs w:val="16"/>
          <w:lang w:val="pt-BR"/>
        </w:rPr>
        <w:t>*</w:t>
      </w:r>
      <w:r w:rsidR="00D74018" w:rsidRPr="007C1877">
        <w:rPr>
          <w:rFonts w:cstheme="majorBidi"/>
          <w:b/>
          <w:bCs/>
          <w:color w:val="074F6A" w:themeColor="accent4" w:themeShade="80"/>
          <w:sz w:val="18"/>
          <w:szCs w:val="16"/>
          <w:lang w:val="pt-BR"/>
        </w:rPr>
        <w:t xml:space="preserve">Correspondence: </w:t>
      </w:r>
      <w:r w:rsidR="007C1877" w:rsidRPr="007C1877">
        <w:rPr>
          <w:rFonts w:cstheme="majorBidi"/>
          <w:b/>
          <w:bCs/>
          <w:color w:val="074F6A" w:themeColor="accent4" w:themeShade="80"/>
          <w:sz w:val="18"/>
          <w:szCs w:val="16"/>
          <w:lang w:val="pt-BR"/>
        </w:rPr>
        <w:t xml:space="preserve">Dr. </w:t>
      </w:r>
      <w:r w:rsidR="009C0B6D" w:rsidRPr="009C0B6D">
        <w:rPr>
          <w:rFonts w:cstheme="majorBidi"/>
          <w:b/>
          <w:bCs/>
          <w:color w:val="074F6A" w:themeColor="accent4" w:themeShade="80"/>
          <w:sz w:val="18"/>
          <w:szCs w:val="16"/>
          <w:lang w:val="en-GB"/>
        </w:rPr>
        <w:t>Hadia Abbas</w:t>
      </w:r>
      <w:r w:rsidR="007C1877" w:rsidRPr="007C1877">
        <w:rPr>
          <w:rFonts w:cstheme="majorBidi"/>
          <w:b/>
          <w:bCs/>
          <w:color w:val="074F6A" w:themeColor="accent4" w:themeShade="80"/>
          <w:sz w:val="18"/>
          <w:szCs w:val="16"/>
          <w:lang w:val="pt-BR"/>
        </w:rPr>
        <w:t xml:space="preserve">, </w:t>
      </w:r>
      <w:r w:rsidR="009C0B6D" w:rsidRPr="009C0B6D">
        <w:rPr>
          <w:rFonts w:cstheme="majorBidi"/>
          <w:b/>
          <w:bCs/>
          <w:color w:val="074F6A" w:themeColor="accent4" w:themeShade="80"/>
          <w:sz w:val="18"/>
          <w:szCs w:val="16"/>
          <w:lang w:val="en-GB"/>
        </w:rPr>
        <w:t>hadiyaabbas2001@gmail.</w:t>
      </w:r>
      <w:r w:rsidR="007530B9" w:rsidRPr="007530B9">
        <w:rPr>
          <w:rFonts w:cstheme="majorBidi"/>
          <w:b/>
          <w:bCs/>
          <w:color w:val="074F6A" w:themeColor="accent4" w:themeShade="80"/>
          <w:sz w:val="18"/>
          <w:szCs w:val="16"/>
          <w:lang w:val="pt-BR"/>
        </w:rPr>
        <w:t>com</w:t>
      </w:r>
    </w:p>
    <w:p w:rsidR="007530B9" w:rsidRDefault="007530B9" w:rsidP="007530B9">
      <w:pPr>
        <w:pStyle w:val="NoSpacing"/>
        <w:pBdr>
          <w:left w:val="single" w:sz="4" w:space="4" w:color="auto"/>
        </w:pBdr>
        <w:spacing w:line="276" w:lineRule="auto"/>
        <w:jc w:val="both"/>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pPr>
      <w:r>
        <w:rPr>
          <w:rFonts w:ascii="Plantagenet Cherokee" w:hAnsi="Plantagenet Cherokee" w:cstheme="majorBidi"/>
          <w:b/>
          <w:bCs/>
          <w:color w:val="FFFFFF" w:themeColor="background1"/>
          <w:sz w:val="14"/>
          <w:szCs w:val="14"/>
          <w:highlight w:val="darkCyan"/>
          <w14:shadow w14:blurRad="0" w14:dist="0" w14:dir="5400000" w14:sx="0" w14:sy="0" w14:kx="0" w14:ky="0" w14:algn="ctr">
            <w14:srgbClr w14:val="000000">
              <w14:alpha w14:val="51000"/>
            </w14:srgbClr>
          </w14:shadow>
        </w:rPr>
        <w:t>“</w:t>
      </w:r>
      <w:hyperlink r:id="rId8" w:history="1">
        <w:r w:rsidRPr="00794854">
          <w:rPr>
            <w:rStyle w:val="Hyperlink"/>
            <w:rFonts w:ascii="Plantagenet Cherokee" w:hAnsi="Plantagenet Cherokee" w:cstheme="majorBidi"/>
            <w:b/>
            <w:bCs/>
            <w:color w:val="FFFFFF" w:themeColor="background1"/>
            <w:sz w:val="14"/>
            <w:szCs w:val="14"/>
            <w:highlight w:val="darkCyan"/>
            <w:u w:val="none"/>
            <w14:shadow w14:blurRad="0" w14:dist="0" w14:dir="5400000" w14:sx="0" w14:sy="0" w14:kx="0" w14:ky="0" w14:algn="ctr">
              <w14:srgbClr w14:val="000000">
                <w14:alpha w14:val="51000"/>
              </w14:srgbClr>
            </w14:shadow>
          </w:rPr>
          <w:t>Cite this Article</w:t>
        </w:r>
      </w:hyperlink>
      <w:r w:rsidRPr="00794854">
        <w:rPr>
          <w:rFonts w:ascii="Plantagenet Cherokee" w:hAnsi="Plantagenet Cherokee" w:cstheme="majorBidi"/>
          <w:b/>
          <w:bCs/>
          <w:color w:val="FFFFFF" w:themeColor="background1"/>
          <w:sz w:val="14"/>
          <w:szCs w:val="14"/>
          <w:highlight w:val="darkCyan"/>
          <w14:shadow w14:blurRad="0" w14:dist="0" w14:dir="5400000" w14:sx="0" w14:sy="0" w14:kx="0" w14:ky="0" w14:algn="ctr">
            <w14:srgbClr w14:val="000000">
              <w14:alpha w14:val="51000"/>
            </w14:srgbClr>
          </w14:shadow>
        </w:rPr>
        <w:t>”</w:t>
      </w:r>
      <w:r w:rsidRPr="008F6C61">
        <w:rPr>
          <w:rFonts w:ascii="Plantagenet Cherokee" w:hAnsi="Plantagenet Cherokee" w:cstheme="majorBidi"/>
          <w:color w:val="E8E8E8" w:themeColor="background2"/>
          <w:sz w:val="14"/>
          <w:szCs w:val="14"/>
          <w14:shadow w14:blurRad="0" w14:dist="0" w14:dir="5400000" w14:sx="0" w14:sy="0" w14:kx="0" w14:ky="0" w14:algn="ctr">
            <w14:srgbClr w14:val="000000">
              <w14:alpha w14:val="51000"/>
            </w14:srgbClr>
          </w14:shadow>
        </w:rPr>
        <w:t xml:space="preserve"> </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Received</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07 </w:t>
      </w:r>
      <w:r w:rsidR="009C0B6D" w:rsidRPr="009C0B6D">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February</w:t>
      </w:r>
      <w:r>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001D7633">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2026</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Accepted</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23 </w:t>
      </w:r>
      <w:r w:rsidR="009C0B6D" w:rsidRPr="009C0B6D">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March</w:t>
      </w:r>
      <w:r w:rsidR="001D7633">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2026</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Published</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009C0B6D">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30 April</w:t>
      </w:r>
      <w:r w:rsidR="001D7633">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2026</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w:t>
      </w:r>
    </w:p>
    <w:p w:rsidR="007530B9" w:rsidRPr="007530B9" w:rsidRDefault="007530B9" w:rsidP="007530B9">
      <w:pPr>
        <w:pStyle w:val="NoSpacing"/>
        <w:pBdr>
          <w:left w:val="single" w:sz="4" w:space="4" w:color="auto"/>
        </w:pBdr>
        <w:spacing w:line="276" w:lineRule="auto"/>
        <w:jc w:val="both"/>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pPr>
      <w:r w:rsidRPr="00BB7230">
        <w:rPr>
          <w:rFonts w:ascii="Plantagenet Cherokee" w:hAnsi="Plantagenet Cherokee" w:cstheme="majorBidi"/>
          <w:b/>
          <w:bCs/>
          <w:color w:val="074F6A" w:themeColor="accent4" w:themeShade="80"/>
          <w:sz w:val="14"/>
          <w:szCs w:val="14"/>
          <w14:shadow w14:blurRad="0" w14:dist="0" w14:dir="5400000" w14:sx="0" w14:sy="0" w14:kx="0" w14:ky="0" w14:algn="ctr">
            <w14:srgbClr w14:val="000000">
              <w14:alpha w14:val="51000"/>
            </w14:srgbClr>
          </w14:shadow>
        </w:rPr>
        <w:t xml:space="preserve">Author Contributions: </w:t>
      </w:r>
      <w:r w:rsidR="009C0B6D">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Concept: HA; Design: HA; Data Collection: HA; Analysis: HA; Drafting: HA</w:t>
      </w:r>
      <w:r>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w:t>
      </w:r>
      <w:r w:rsidRPr="00BB7230">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 xml:space="preserve"> </w:t>
      </w:r>
      <w:r w:rsidRPr="00BB7230">
        <w:rPr>
          <w:rFonts w:ascii="Plantagenet Cherokee" w:hAnsi="Plantagenet Cherokee" w:cstheme="majorBidi"/>
          <w:b/>
          <w:bCs/>
          <w:color w:val="074F6A" w:themeColor="accent4" w:themeShade="80"/>
          <w:sz w:val="14"/>
          <w:szCs w:val="14"/>
          <w14:shadow w14:blurRad="0" w14:dist="0" w14:dir="5400000" w14:sx="0" w14:sy="0" w14:kx="0" w14:ky="0" w14:algn="ctr">
            <w14:srgbClr w14:val="000000">
              <w14:alpha w14:val="51000"/>
            </w14:srgbClr>
          </w14:shadow>
        </w:rPr>
        <w:t>Ethical Approval</w:t>
      </w:r>
      <w:r w:rsidRPr="00BB7230">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 xml:space="preserve">: </w:t>
      </w:r>
      <w:r w:rsidR="009C0B6D" w:rsidRPr="009C0B6D">
        <w:rPr>
          <w:rFonts w:ascii="Plantagenet Cherokee" w:hAnsi="Plantagenet Cherokee" w:cstheme="majorBidi"/>
          <w:color w:val="074F6A" w:themeColor="accent4" w:themeShade="80"/>
          <w:sz w:val="14"/>
          <w:szCs w:val="14"/>
          <w:lang w:val="en-US"/>
          <w14:shadow w14:blurRad="0" w14:dist="0" w14:dir="5400000" w14:sx="0" w14:sy="0" w14:kx="0" w14:ky="0" w14:algn="ctr">
            <w14:srgbClr w14:val="000000">
              <w14:alpha w14:val="51000"/>
            </w14:srgbClr>
          </w14:shadow>
        </w:rPr>
        <w:t>MARS institute of health science, Lahore</w:t>
      </w:r>
      <w:r w:rsidRPr="007C1877">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 Pakistan</w:t>
      </w:r>
      <w:r>
        <w:rPr>
          <w:rFonts w:ascii="Plantagenet Cherokee" w:hAnsi="Plantagenet Cherokee" w:cstheme="majorBidi"/>
          <w:b/>
          <w:bCs/>
          <w:color w:val="074F6A" w:themeColor="accent4" w:themeShade="80"/>
          <w:sz w:val="14"/>
          <w:szCs w:val="14"/>
          <w14:shadow w14:blurRad="0" w14:dist="0" w14:dir="5400000" w14:sx="0" w14:sy="0" w14:kx="0" w14:ky="0" w14:algn="ctr">
            <w14:srgbClr w14:val="000000">
              <w14:alpha w14:val="51000"/>
            </w14:srgbClr>
          </w14:shadow>
        </w:rPr>
        <w:t xml:space="preserve">.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Informed Consent</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Written informed consent was obtained from all participants;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Conflict of Interest</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The authors declare no conflict of interest;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Funding</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No external funding; Data Availability: Available from the corresponding author on reasonable request;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Acknowledgments</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N/A.</w:t>
      </w:r>
    </w:p>
    <w:p w:rsidR="00152188" w:rsidRPr="00BB7230" w:rsidRDefault="00152188" w:rsidP="009C0B6D">
      <w:pPr>
        <w:pStyle w:val="Heading1"/>
        <w:tabs>
          <w:tab w:val="left" w:pos="6753"/>
        </w:tabs>
      </w:pPr>
      <w:r w:rsidRPr="00BB7230">
        <w:t>Abstract</w:t>
      </w:r>
      <w:r w:rsidR="009C0B6D">
        <w:tab/>
      </w:r>
      <w:r w:rsidR="009C0B6D">
        <w:tab/>
      </w:r>
    </w:p>
    <w:p w:rsidR="009C0B6D" w:rsidRPr="009C0B6D" w:rsidRDefault="009C0B6D" w:rsidP="009C0B6D">
      <w:pPr>
        <w:pStyle w:val="Body"/>
      </w:pPr>
      <w:r w:rsidRPr="009C0B6D">
        <w:t>Background: Rotator cuff disorders are among the leading causes of chronic shoulder pain and functional limitation in middle-aged and elderly populations. Accurate imaging evaluation is essential for early diagnosis and management; however, the routine use of magnetic resonance imaging may be limited by cost and accessibility. Musculoskeletal ultrasonography has emerged as a practical first-line imaging modality for the assessment of rotator cuff pathology because of its accessibility, dynamic capability, and diagnostic efficiency. Objective: To evaluate the diagnostic accuracy of ultrasonography in detecting rotator cuff disorders among patients presenting with shoulder pain and to identify clinical and imaging-related predictors associated with poor clinical outcomes. Methods: A cross-sectional observational diagnostic study was conducted at Mayo Hospital Lahore involving 146 patients with clinically suspected rotator cuff disorders. Demographic characteristics, clinical variables, ultrasonographic findings, and reference imaging results were recorded using standardized protocols. Diagnostic performance indices including sensitivity, specificity, and overall accuracy were calculated. Logistic regression analysis was performed to identify predictors of poor clinical outcome. Results: The mean age of participants was 51.2 ± 8.6 years, and 58.2% were aged ≥50 years. Ultrasonography demonstrated a sensitivity of 92.9%, specificity of 64.7%, and overall diagnostic accuracy of 86.3% for rotator cuff abnormalities. Concordance between ultrasound and reference imaging was observed in 86.3% of patients. Full-thickness tears (OR: 3.12; p=0.007), sarcopenia (OR: 2.78; p=0.014), fatty infiltration (OR: 2.46; p=0.025), prolonged symptom duration (OR: 2.21; p=0.044), and high baseline pain scores (OR: 2.63; p=0.016) were significantly associated with poor clinical outcomes. Conclusion: Ultrasonography demonstrated high diagnostic sensitivity and substantial clinical utility in the evaluation of rotator cuff disorders. Structural tendon damage, muscular degeneration, and prolonged symptom duration were significant predictors of adverse outcomes, supporting the integration of ultrasound-based assessment into routine orthopedic practice. Keywords: Rotator cuff disorders, ultrasonography, shoulder pain, diagnostic accuracy, musculoskeletal imaging, rotator cuff tear, fatty infiltration, sarcopenia.</w:t>
      </w:r>
    </w:p>
    <w:p w:rsidR="009C0B6D" w:rsidRPr="009C0B6D" w:rsidRDefault="009C0B6D" w:rsidP="009C0B6D">
      <w:pPr>
        <w:pStyle w:val="Body"/>
      </w:pPr>
    </w:p>
    <w:p w:rsidR="009C0B6D" w:rsidRPr="009C0B6D" w:rsidRDefault="009C0B6D" w:rsidP="009C0B6D">
      <w:pPr>
        <w:pStyle w:val="Heading1"/>
      </w:pPr>
      <w:r w:rsidRPr="009C0B6D">
        <w:t>Introduction</w:t>
      </w:r>
    </w:p>
    <w:p w:rsidR="009C0B6D" w:rsidRPr="009C0B6D" w:rsidRDefault="009C0B6D" w:rsidP="009C0B6D">
      <w:pPr>
        <w:pStyle w:val="Body"/>
      </w:pPr>
      <w:r w:rsidRPr="009C0B6D">
        <w:t>Shoulder pain is among the most frequent musculoskeletal complaints encountered in orthopedic and rehabilitation practice and contributes substantially to pain-related disability, impaired quality of life, and healthcare utilization worldwide. Rotator cuff disorders represent one of the leading causes of chronic shoulder pain, particularly among middle-aged and older adults, and encompass a broad spectrum of pathological conditions including tendinopathy, partial-thickness tears, full-thickness tears, muscular degeneration, and fatty infiltration (1). The prevalence of rotator cuff pathology increases with advancing age and repetitive shoulder use, with supraspinatus tendon involvement being the most commonly reported abnormality in symptomatic individuals (2). Persistent rotator cuff disease may result in reduced shoulder mobility, sleep disturbance, occupational impairment, and progressive functional decline, thereby emphasizing the need for accurate and timely diagnosis to guide clinical management and prevent long-term morbidity (3).</w:t>
      </w:r>
    </w:p>
    <w:p w:rsidR="009C0B6D" w:rsidRPr="009C0B6D" w:rsidRDefault="009C0B6D" w:rsidP="009C0B6D">
      <w:pPr>
        <w:pStyle w:val="Body"/>
      </w:pPr>
      <w:r w:rsidRPr="009C0B6D">
        <w:lastRenderedPageBreak/>
        <w:t>Accurate imaging assessment plays a central role in the diagnosis and therapeutic planning of rotator cuff disorders. Magnetic resonance imaging (MRI) is frequently regarded as a comprehensive modality for soft tissue evaluation; however, its routine use may be limited by high cost, longer examination times, restricted accessibility, and contraindications in selected patient populations (4). In contrast, musculoskeletal ultrasonography has emerged as an attractive first-line imaging modality because it is inexpensive, rapid, dynamic, radiation-free, and capable of real-time tendon assessment during movement (5). Previous investigations have demonstrated that high-resolution ultrasound possesses excellent sensitivity for detecting rotator cuff tears and substantial concordance with MRI findings, particularly when performed by experienced operators (6,7). Meta-analyses have further supported the diagnostic utility of ultrasound in identifying both partial- and full-thickness tears, suggesting that ultrasonography may provide comparable clinical value to MRI in appropriately selected patients (8).</w:t>
      </w:r>
    </w:p>
    <w:p w:rsidR="009C0B6D" w:rsidRPr="009C0B6D" w:rsidRDefault="009C0B6D" w:rsidP="009C0B6D">
      <w:pPr>
        <w:pStyle w:val="Body"/>
      </w:pPr>
      <w:r w:rsidRPr="009C0B6D">
        <w:t>Beyond simple tear detection, recent advances in musculoskeletal ultrasound have expanded its role in evaluating tendon quality, muscular degeneration, and prognostic indicators associated with adverse clinical outcomes. Sonoelastography and quantitative ultrasonographic techniques have shown promising utility in assessing tissue stiffness, fatty infiltration, and degenerative changes associated with chronic rotator cuff disease (9,10). Several studies have also reported significant associations between sarcopenia, muscular atrophy, and the development or progression of rotator cuff pathology, particularly among older individuals (11). Furthermore, chronic symptom duration, elevated baseline pain severity, and full-thickness tendon tears have been associated with poorer functional recovery and increased likelihood of surgical intervention (12,13). Despite these advances, substantial heterogeneity persists in the reported diagnostic performance of ultrasound across different clinical settings, and limited evidence is available regarding factors associated with poor clinical outcomes in patients undergoing ultrasonographic evaluation for shoulder pain within tertiary care hospitals in developing healthcare systems.</w:t>
      </w:r>
    </w:p>
    <w:p w:rsidR="009C0B6D" w:rsidRPr="009C0B6D" w:rsidRDefault="009C0B6D" w:rsidP="009C0B6D">
      <w:pPr>
        <w:pStyle w:val="Body"/>
      </w:pPr>
      <w:r w:rsidRPr="009C0B6D">
        <w:t>In Pakistan and similar resource-constrained settings, ultrasound is frequently utilized as the initial imaging modality because of its affordability and wider availability compared with MRI. Nevertheless, local data evaluating its diagnostic performance and clinical applicability in rotator cuff disorders remain scarce. Most available regional studies are limited by small sample sizes, inconsistent methodology, or lack of inferential analysis regarding predictors of adverse outcomes. Moreover, few studies have simultaneously evaluated diagnostic concordance with reference imaging and clinically relevant prognostic variables such as fatty infiltration, sarcopenia, symptom chronicity, and baseline pain intensity. Addressing these gaps is important for optimizing evidence-based diagnostic pathways and improving patient stratification in orthopedic practice.</w:t>
      </w:r>
    </w:p>
    <w:p w:rsidR="009C0B6D" w:rsidRPr="009C0B6D" w:rsidRDefault="009C0B6D" w:rsidP="009C0B6D">
      <w:pPr>
        <w:pStyle w:val="Body"/>
      </w:pPr>
      <w:r w:rsidRPr="009C0B6D">
        <w:t xml:space="preserve">Therefore, the present study aimed to evaluate the diagnostic accuracy of ultrasonography in the assessment of rotator cuff disorders among patients presenting with shoulder pain at Mayo Hospital Lahore. In addition, the study sought to determine the association of clinical and imaging-related factors with poor clinical outcomes in this patient population. It was hypothesized that ultrasonography would demonstrate high diagnostic sensitivity for rotator cuff abnormalities and that full-thickness tears, fatty infiltration, prolonged symptom duration, and reduced muscle mass would be significantly associated with poorer clinical outcomes. </w:t>
      </w:r>
    </w:p>
    <w:p w:rsidR="009C0B6D" w:rsidRPr="009C0B6D" w:rsidRDefault="009C0B6D" w:rsidP="009C0B6D">
      <w:pPr>
        <w:pStyle w:val="Heading1"/>
      </w:pPr>
      <w:r w:rsidRPr="009C0B6D">
        <w:t>Material and methods</w:t>
      </w:r>
    </w:p>
    <w:p w:rsidR="009C0B6D" w:rsidRPr="009C0B6D" w:rsidRDefault="009C0B6D" w:rsidP="009C0B6D">
      <w:pPr>
        <w:pStyle w:val="Body"/>
      </w:pPr>
      <w:r w:rsidRPr="009C0B6D">
        <w:t>A cross-sectional observational diagnostic study was conducted in the Departments of Orthopedics and Radiology at Mayo Hospital Lahore, King Edward Medical University, Lahore, Pakistan, to evaluate the diagnostic accuracy of ultrasonography in patients presenting with shoulder pain suggestive of rotator cuff pathology. The study was carried out over a predefined study period after obtaining institutional ethical approval from the hospital research and ethics committee. Adult patients presenting to orthopedic outpatient and rehabilitation clinics with clinical suspicion of rotator cuff disease were consecutively recruited using a non-probability consecutive sampling technique to minimize selection bias and ensure representation of routine clinical practice. The study was designed in accordance with the principles outlined in the Declaration of Helsinki and followed recommendations for reporting observational diagnostic accuracy studies. Written informed consent was obtained from all participants prior to enrollment.</w:t>
      </w:r>
    </w:p>
    <w:p w:rsidR="009C0B6D" w:rsidRPr="009C0B6D" w:rsidRDefault="009C0B6D" w:rsidP="009C0B6D">
      <w:pPr>
        <w:pStyle w:val="Body"/>
      </w:pPr>
      <w:r w:rsidRPr="009C0B6D">
        <w:t xml:space="preserve">Patients aged 18 years or older with unilateral or bilateral shoulder pain, restricted shoulder movement, clinical signs suggestive of rotator cuff pathology, or persistent symptoms requiring imaging evaluation were considered eligible for inclusion. Clinical suspicion was based on standardized orthopedic examination findings including pain during abduction, weakness of shoulder musculature, painful arc, positive impingement signs, or reduced range of motion. Patients with prior shoulder surgery, acute fractures, inflammatory arthropathies, malignancy </w:t>
      </w:r>
      <w:r w:rsidRPr="009C0B6D">
        <w:lastRenderedPageBreak/>
        <w:t>involving the shoulder girdle, advanced neurological disorders affecting upper limb function, septic arthritis, or incomplete imaging records were excluded from the study. Individuals with contraindications to reference imaging or those unwilling to provide informed consent were also excluded to maintain methodological consistency and data completeness.</w:t>
      </w:r>
    </w:p>
    <w:p w:rsidR="009C0B6D" w:rsidRPr="009C0B6D" w:rsidRDefault="009C0B6D" w:rsidP="009C0B6D">
      <w:pPr>
        <w:pStyle w:val="Body"/>
      </w:pPr>
      <w:r w:rsidRPr="009C0B6D">
        <w:t>Detailed demographic and clinical information was collected at the time of enrollment using a structured proforma completed by trained investigators. Variables recorded included age, sex, duration of symptoms, dominant side involvement, affected shoulder laterality, baseline visual analogue scale (VAS) pain score, range of motion limitation, smoking history, obesity status, diabetes mellitus, hypertension, and evidence of sarcopenia or reduced muscle mass. Obesity was operationally defined as a body mass index of ≥30 kg/m², while prolonged symptom duration was defined as symptoms persisting for six months or longer. High baseline pain severity was defined as a VAS score of ≥7. Poor clinical outcome was defined using persistent functional limitation, sustained pain requiring continued intervention, or referral for surgical management during follow-up assessment. Clinical evaluation was performed by orthopedic clinicians experienced in shoulder disorders to ensure consistency in assessment procedures.</w:t>
      </w:r>
    </w:p>
    <w:p w:rsidR="009C0B6D" w:rsidRPr="009C0B6D" w:rsidRDefault="009C0B6D" w:rsidP="009C0B6D">
      <w:pPr>
        <w:pStyle w:val="Body"/>
      </w:pPr>
      <w:r w:rsidRPr="009C0B6D">
        <w:t>All enrolled participants underwent musculoskeletal ultrasonography of the affected shoulder using a high-frequency linear transducer operated by experienced radiologists trained in musculoskeletal imaging. Ultrasound examination protocols were standardized across all patients and included dynamic and static assessment of the supraspinatus, infraspinatus, subscapularis, teres minor, and long head of the biceps tendon. Tendinopathy was identified based on tendon thickening, hypoechogenicity, loss of fibrillar pattern, or irregular tendon contour. Partial-thickness tears were defined as focal tendon discontinuity not extending through the full tendon thickness, whereas full-thickness tears were characterized by complete interruption of tendon fibers with or without tendon retraction. Fatty infiltration was assessed using ultrasonographic evidence of increased echogenicity and muscular degeneration. Ultrasound findings were interpreted independently prior to review of reference imaging results to reduce observer-related diagnostic bias.</w:t>
      </w:r>
    </w:p>
    <w:p w:rsidR="009C0B6D" w:rsidRPr="009C0B6D" w:rsidRDefault="009C0B6D" w:rsidP="009C0B6D">
      <w:pPr>
        <w:pStyle w:val="Body"/>
      </w:pPr>
      <w:r w:rsidRPr="009C0B6D">
        <w:t>Reference imaging findings obtained through magnetic resonance imaging or advanced diagnostic imaging reports served as the comparative standard for confirmation of rotator cuff abnormalities. Diagnostic concordance between ultrasound and reference imaging was evaluated by comparing the presence or absence of rotator cuff pathology, tear characteristics, and involved tendon structures. Ultrasound positivity, false-positive findings, false-negative findings, diagnostic sensitivity, specificity, and overall diagnostic accuracy were calculated using standard diagnostic performance formulas. To improve internal validity and reproducibility, imaging findings were documented using predefined reporting criteria and independently reviewed when discrepancies arose between clinical and imaging assessments.</w:t>
      </w:r>
    </w:p>
    <w:p w:rsidR="009C0B6D" w:rsidRPr="009C0B6D" w:rsidRDefault="009C0B6D" w:rsidP="009C0B6D">
      <w:pPr>
        <w:pStyle w:val="Body"/>
      </w:pPr>
      <w:r w:rsidRPr="009C0B6D">
        <w:t xml:space="preserve">The required sample size was determined using anticipated diagnostic sensitivity estimates from previously published literature evaluating ultrasonography for rotator cuff disorders, considering a 95% confidence level, acceptable margin of error, and expected prevalence of rotator cuff abnormalities among symptomatic patients (14–16). A total of 146 participants meeting eligibility criteria were ultimately included in the final analysis. Data were entered and verified using double-entry validation procedures to minimize transcriptional error and maintain data integrity. Statistical analysis was performed using Statistical Package for the Social Sciences (SPSS) version 26.0. Continuous variables were summarized as mean ± standard deviation or median with interquartile range depending on data distribution, while categorical variables were expressed as frequencies and percentages. Diagnostic performance indices including sensitivity, specificity, and overall diagnostic accuracy were calculated with corresponding confidence intervals where applicable. Inferential analysis was conducted using binary logistic regression to identify predictors associated with poor clinical outcome. Odds ratios (ORs) with 95% confidence intervals (CIs) were reported, and variables demonstrating clinical relevance or statistical significance in univariable analysis were included in regression modeling to account for potential confounding. A p-value of &lt;0.05 was considered statistically significant for all analyses. Missing or incomplete observations were minimized through direct participant verification at the time of data collection, and only complete datasets were included in the final inferential analysis to preserve analytical consistency. </w:t>
      </w:r>
    </w:p>
    <w:p w:rsidR="009C0B6D" w:rsidRPr="009C0B6D" w:rsidRDefault="009C0B6D" w:rsidP="009C0B6D">
      <w:pPr>
        <w:pStyle w:val="Heading1"/>
      </w:pPr>
      <w:r w:rsidRPr="009C0B6D">
        <w:t>Results</w:t>
      </w:r>
    </w:p>
    <w:p w:rsidR="009C0B6D" w:rsidRPr="009C0B6D" w:rsidRDefault="009C0B6D" w:rsidP="009C0B6D">
      <w:pPr>
        <w:pStyle w:val="Body"/>
      </w:pPr>
      <w:r w:rsidRPr="009C0B6D">
        <w:t xml:space="preserve">A total of 146 participants presenting with shoulder pain suggestive of rotator cuff pathology were included in the final analysis. The mean age of the study population was 51.2 ± 8.6 years, and 58.2% of participants were aged 50 years or older. Male participants constituted 53.4% of the cohort, while females represented 46.6%. The </w:t>
      </w:r>
      <w:r w:rsidRPr="009C0B6D">
        <w:lastRenderedPageBreak/>
        <w:t xml:space="preserve">dominant shoulder was affected in 62.3% of patients, with right-sided involvement observed more frequently than left-sided involvement (60.3% vs. 39.7%). The mean symptom duration was 6.8 ± 3.4 months, and the baseline pain severity measured using the visual analogue scale (VAS) was 6.4 ± 1.5. Limited shoulder range of motion was documented in 57.5% of participants (Table 1). </w:t>
      </w:r>
    </w:p>
    <w:p w:rsidR="009C0B6D" w:rsidRPr="009C0B6D" w:rsidRDefault="009C0B6D" w:rsidP="009C0B6D">
      <w:pPr>
        <w:pStyle w:val="Caption"/>
      </w:pPr>
      <w:r w:rsidRPr="009C0B6D">
        <w:t>Table 1. Baseline Demographic and Clinical Characteristics of the Study Population (n = 146)</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578"/>
        <w:gridCol w:w="710"/>
        <w:gridCol w:w="2739"/>
      </w:tblGrid>
      <w:tr w:rsidR="009C0B6D" w:rsidRPr="009C0B6D" w:rsidTr="009C0B6D">
        <w:trPr>
          <w:tblHeader/>
          <w:tblCellSpacing w:w="0" w:type="dxa"/>
        </w:trPr>
        <w:tc>
          <w:tcPr>
            <w:tcW w:w="3090" w:type="pct"/>
            <w:tcBorders>
              <w:top w:val="single" w:sz="4" w:space="0" w:color="auto"/>
              <w:bottom w:val="single" w:sz="4" w:space="0" w:color="000000"/>
            </w:tcBorders>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Variable</w:t>
            </w:r>
          </w:p>
        </w:tc>
        <w:tc>
          <w:tcPr>
            <w:tcW w:w="393" w:type="pct"/>
            <w:tcBorders>
              <w:top w:val="single" w:sz="4" w:space="0" w:color="auto"/>
              <w:bottom w:val="single" w:sz="4" w:space="0" w:color="000000"/>
            </w:tcBorders>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n</w:t>
            </w:r>
          </w:p>
        </w:tc>
        <w:tc>
          <w:tcPr>
            <w:tcW w:w="1517" w:type="pct"/>
            <w:tcBorders>
              <w:top w:val="single" w:sz="4" w:space="0" w:color="auto"/>
              <w:bottom w:val="single" w:sz="4" w:space="0" w:color="000000"/>
            </w:tcBorders>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 / Mean ± SD</w:t>
            </w:r>
          </w:p>
        </w:tc>
      </w:tr>
      <w:tr w:rsidR="009C0B6D" w:rsidRPr="009C0B6D" w:rsidTr="009C0B6D">
        <w:trPr>
          <w:tblCellSpacing w:w="0" w:type="dxa"/>
        </w:trPr>
        <w:tc>
          <w:tcPr>
            <w:tcW w:w="3090" w:type="pct"/>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Total participants</w:t>
            </w:r>
          </w:p>
        </w:tc>
        <w:tc>
          <w:tcPr>
            <w:tcW w:w="393"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146</w:t>
            </w:r>
          </w:p>
        </w:tc>
        <w:tc>
          <w:tcPr>
            <w:tcW w:w="1517"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100.0</w:t>
            </w:r>
          </w:p>
        </w:tc>
      </w:tr>
      <w:tr w:rsidR="009C0B6D" w:rsidRPr="009C0B6D" w:rsidTr="009C0B6D">
        <w:trPr>
          <w:tblCellSpacing w:w="0" w:type="dxa"/>
        </w:trPr>
        <w:tc>
          <w:tcPr>
            <w:tcW w:w="3090" w:type="pct"/>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Age (years)</w:t>
            </w:r>
          </w:p>
        </w:tc>
        <w:tc>
          <w:tcPr>
            <w:tcW w:w="393"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146</w:t>
            </w:r>
          </w:p>
        </w:tc>
        <w:tc>
          <w:tcPr>
            <w:tcW w:w="1517"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51.2 ± 8.6</w:t>
            </w:r>
          </w:p>
        </w:tc>
      </w:tr>
      <w:tr w:rsidR="009C0B6D" w:rsidRPr="009C0B6D" w:rsidTr="009C0B6D">
        <w:trPr>
          <w:tblCellSpacing w:w="0" w:type="dxa"/>
        </w:trPr>
        <w:tc>
          <w:tcPr>
            <w:tcW w:w="3090" w:type="pct"/>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Age ≥50 years</w:t>
            </w:r>
          </w:p>
        </w:tc>
        <w:tc>
          <w:tcPr>
            <w:tcW w:w="393"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85</w:t>
            </w:r>
          </w:p>
        </w:tc>
        <w:tc>
          <w:tcPr>
            <w:tcW w:w="1517"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58.2</w:t>
            </w:r>
          </w:p>
        </w:tc>
      </w:tr>
      <w:tr w:rsidR="009C0B6D" w:rsidRPr="009C0B6D" w:rsidTr="009C0B6D">
        <w:trPr>
          <w:tblCellSpacing w:w="0" w:type="dxa"/>
        </w:trPr>
        <w:tc>
          <w:tcPr>
            <w:tcW w:w="3090" w:type="pct"/>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Male sex</w:t>
            </w:r>
          </w:p>
        </w:tc>
        <w:tc>
          <w:tcPr>
            <w:tcW w:w="393"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78</w:t>
            </w:r>
          </w:p>
        </w:tc>
        <w:tc>
          <w:tcPr>
            <w:tcW w:w="1517"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53.4</w:t>
            </w:r>
          </w:p>
        </w:tc>
      </w:tr>
      <w:tr w:rsidR="009C0B6D" w:rsidRPr="009C0B6D" w:rsidTr="009C0B6D">
        <w:trPr>
          <w:tblCellSpacing w:w="0" w:type="dxa"/>
        </w:trPr>
        <w:tc>
          <w:tcPr>
            <w:tcW w:w="3090" w:type="pct"/>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Female sex</w:t>
            </w:r>
          </w:p>
        </w:tc>
        <w:tc>
          <w:tcPr>
            <w:tcW w:w="393"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68</w:t>
            </w:r>
          </w:p>
        </w:tc>
        <w:tc>
          <w:tcPr>
            <w:tcW w:w="1517"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46.6</w:t>
            </w:r>
          </w:p>
        </w:tc>
      </w:tr>
      <w:tr w:rsidR="009C0B6D" w:rsidRPr="009C0B6D" w:rsidTr="009C0B6D">
        <w:trPr>
          <w:tblCellSpacing w:w="0" w:type="dxa"/>
        </w:trPr>
        <w:tc>
          <w:tcPr>
            <w:tcW w:w="3090" w:type="pct"/>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Symptom duration (months)</w:t>
            </w:r>
          </w:p>
        </w:tc>
        <w:tc>
          <w:tcPr>
            <w:tcW w:w="393"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146</w:t>
            </w:r>
          </w:p>
        </w:tc>
        <w:tc>
          <w:tcPr>
            <w:tcW w:w="1517"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6.8 ± 3.4</w:t>
            </w:r>
          </w:p>
        </w:tc>
      </w:tr>
      <w:tr w:rsidR="009C0B6D" w:rsidRPr="009C0B6D" w:rsidTr="009C0B6D">
        <w:trPr>
          <w:tblCellSpacing w:w="0" w:type="dxa"/>
        </w:trPr>
        <w:tc>
          <w:tcPr>
            <w:tcW w:w="3090" w:type="pct"/>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Dominant shoulder affected</w:t>
            </w:r>
          </w:p>
        </w:tc>
        <w:tc>
          <w:tcPr>
            <w:tcW w:w="393"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91</w:t>
            </w:r>
          </w:p>
        </w:tc>
        <w:tc>
          <w:tcPr>
            <w:tcW w:w="1517"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62.3</w:t>
            </w:r>
          </w:p>
        </w:tc>
      </w:tr>
      <w:tr w:rsidR="009C0B6D" w:rsidRPr="009C0B6D" w:rsidTr="009C0B6D">
        <w:trPr>
          <w:tblCellSpacing w:w="0" w:type="dxa"/>
        </w:trPr>
        <w:tc>
          <w:tcPr>
            <w:tcW w:w="3090" w:type="pct"/>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Right shoulder affected</w:t>
            </w:r>
          </w:p>
        </w:tc>
        <w:tc>
          <w:tcPr>
            <w:tcW w:w="393"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88</w:t>
            </w:r>
          </w:p>
        </w:tc>
        <w:tc>
          <w:tcPr>
            <w:tcW w:w="1517"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60.3</w:t>
            </w:r>
          </w:p>
        </w:tc>
      </w:tr>
      <w:tr w:rsidR="009C0B6D" w:rsidRPr="009C0B6D" w:rsidTr="009C0B6D">
        <w:trPr>
          <w:tblCellSpacing w:w="0" w:type="dxa"/>
        </w:trPr>
        <w:tc>
          <w:tcPr>
            <w:tcW w:w="3090" w:type="pct"/>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Left shoulder affected</w:t>
            </w:r>
          </w:p>
        </w:tc>
        <w:tc>
          <w:tcPr>
            <w:tcW w:w="393"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58</w:t>
            </w:r>
          </w:p>
        </w:tc>
        <w:tc>
          <w:tcPr>
            <w:tcW w:w="1517"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39.7</w:t>
            </w:r>
          </w:p>
        </w:tc>
      </w:tr>
      <w:tr w:rsidR="009C0B6D" w:rsidRPr="009C0B6D" w:rsidTr="009C0B6D">
        <w:trPr>
          <w:tblCellSpacing w:w="0" w:type="dxa"/>
        </w:trPr>
        <w:tc>
          <w:tcPr>
            <w:tcW w:w="3090" w:type="pct"/>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Baseline pain score (VAS 0–10)</w:t>
            </w:r>
          </w:p>
        </w:tc>
        <w:tc>
          <w:tcPr>
            <w:tcW w:w="393"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146</w:t>
            </w:r>
          </w:p>
        </w:tc>
        <w:tc>
          <w:tcPr>
            <w:tcW w:w="1517"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6.4 ± 1.5</w:t>
            </w:r>
          </w:p>
        </w:tc>
      </w:tr>
      <w:tr w:rsidR="009C0B6D" w:rsidRPr="009C0B6D" w:rsidTr="009C0B6D">
        <w:trPr>
          <w:tblCellSpacing w:w="0" w:type="dxa"/>
        </w:trPr>
        <w:tc>
          <w:tcPr>
            <w:tcW w:w="3090" w:type="pct"/>
            <w:tcBorders>
              <w:bottom w:val="single" w:sz="4" w:space="0" w:color="auto"/>
            </w:tcBorders>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Limited range of motion</w:t>
            </w:r>
          </w:p>
        </w:tc>
        <w:tc>
          <w:tcPr>
            <w:tcW w:w="393" w:type="pct"/>
            <w:tcBorders>
              <w:bottom w:val="single" w:sz="4" w:space="0" w:color="auto"/>
            </w:tcBorders>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84</w:t>
            </w:r>
          </w:p>
        </w:tc>
        <w:tc>
          <w:tcPr>
            <w:tcW w:w="1517" w:type="pct"/>
            <w:tcBorders>
              <w:bottom w:val="single" w:sz="4" w:space="0" w:color="auto"/>
            </w:tcBorders>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57.5</w:t>
            </w:r>
          </w:p>
        </w:tc>
      </w:tr>
    </w:tbl>
    <w:p w:rsidR="009C0B6D" w:rsidRPr="009C0B6D" w:rsidRDefault="009C0B6D" w:rsidP="009C0B6D">
      <w:pPr>
        <w:pStyle w:val="Body"/>
      </w:pPr>
      <w:r w:rsidRPr="009C0B6D">
        <w:t xml:space="preserve">Comorbid conditions and imaging-related variables demonstrated a substantial burden of degenerative and metabolic risk factors among patients with shoulder pain. Hypertension was present in 31.5% of participants, obesity in 26.7%, diabetes mellitus in 23.3%, and smoking history in 19.2%. Sarcopenia or reduced muscle mass was identified in 25.3% of cases. Tendinopathy on ultrasound imaging was observed in 42.5% of participants, while partial-thickness and full-thickness rotator cuff tears were identified in 34.9% and 22.6% of patients, respectively. The supraspinatus tendon was the most frequently involved structure, affecting 71.2% of patients, followed by biceps tendon involvement (19.9%) and subscapularis tendon involvement (17.1%). Fatty infiltration was detected in 28.8% of the study population (Table 2). </w:t>
      </w:r>
    </w:p>
    <w:p w:rsidR="009C0B6D" w:rsidRPr="009C0B6D" w:rsidRDefault="009C0B6D" w:rsidP="009C0B6D">
      <w:pPr>
        <w:pStyle w:val="Caption"/>
      </w:pPr>
      <w:r w:rsidRPr="009C0B6D">
        <w:t>Table 2. Clinical Comorbidities and Imaging-Related Characteristics</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187"/>
        <w:gridCol w:w="856"/>
        <w:gridCol w:w="984"/>
      </w:tblGrid>
      <w:tr w:rsidR="009C0B6D" w:rsidRPr="009C0B6D" w:rsidTr="009C0B6D">
        <w:trPr>
          <w:tblHeader/>
          <w:tblCellSpacing w:w="0" w:type="dxa"/>
        </w:trPr>
        <w:tc>
          <w:tcPr>
            <w:tcW w:w="3981" w:type="pct"/>
            <w:tcBorders>
              <w:top w:val="single" w:sz="4" w:space="0" w:color="auto"/>
              <w:bottom w:val="single" w:sz="4" w:space="0" w:color="000000"/>
            </w:tcBorders>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Variable</w:t>
            </w:r>
          </w:p>
        </w:tc>
        <w:tc>
          <w:tcPr>
            <w:tcW w:w="474" w:type="pct"/>
            <w:tcBorders>
              <w:top w:val="single" w:sz="4" w:space="0" w:color="auto"/>
              <w:bottom w:val="single" w:sz="4" w:space="0" w:color="000000"/>
            </w:tcBorders>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n</w:t>
            </w:r>
          </w:p>
        </w:tc>
        <w:tc>
          <w:tcPr>
            <w:tcW w:w="545" w:type="pct"/>
            <w:tcBorders>
              <w:top w:val="single" w:sz="4" w:space="0" w:color="auto"/>
              <w:bottom w:val="single" w:sz="4" w:space="0" w:color="000000"/>
            </w:tcBorders>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w:t>
            </w:r>
          </w:p>
        </w:tc>
      </w:tr>
      <w:tr w:rsidR="009C0B6D" w:rsidRPr="009C0B6D" w:rsidTr="009C0B6D">
        <w:trPr>
          <w:tblCellSpacing w:w="0" w:type="dxa"/>
        </w:trPr>
        <w:tc>
          <w:tcPr>
            <w:tcW w:w="3981" w:type="pct"/>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Diabetes mellitus</w:t>
            </w:r>
          </w:p>
        </w:tc>
        <w:tc>
          <w:tcPr>
            <w:tcW w:w="474"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34</w:t>
            </w:r>
          </w:p>
        </w:tc>
        <w:tc>
          <w:tcPr>
            <w:tcW w:w="545"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23.3</w:t>
            </w:r>
          </w:p>
        </w:tc>
      </w:tr>
      <w:tr w:rsidR="009C0B6D" w:rsidRPr="009C0B6D" w:rsidTr="009C0B6D">
        <w:trPr>
          <w:tblCellSpacing w:w="0" w:type="dxa"/>
        </w:trPr>
        <w:tc>
          <w:tcPr>
            <w:tcW w:w="3981" w:type="pct"/>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Hypertension</w:t>
            </w:r>
          </w:p>
        </w:tc>
        <w:tc>
          <w:tcPr>
            <w:tcW w:w="474"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46</w:t>
            </w:r>
          </w:p>
        </w:tc>
        <w:tc>
          <w:tcPr>
            <w:tcW w:w="545"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31.5</w:t>
            </w:r>
          </w:p>
        </w:tc>
      </w:tr>
      <w:tr w:rsidR="009C0B6D" w:rsidRPr="009C0B6D" w:rsidTr="009C0B6D">
        <w:trPr>
          <w:tblCellSpacing w:w="0" w:type="dxa"/>
        </w:trPr>
        <w:tc>
          <w:tcPr>
            <w:tcW w:w="3981" w:type="pct"/>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Obesity (BMI ≥30 kg/m²)</w:t>
            </w:r>
          </w:p>
        </w:tc>
        <w:tc>
          <w:tcPr>
            <w:tcW w:w="474"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39</w:t>
            </w:r>
          </w:p>
        </w:tc>
        <w:tc>
          <w:tcPr>
            <w:tcW w:w="545"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26.7</w:t>
            </w:r>
          </w:p>
        </w:tc>
      </w:tr>
      <w:tr w:rsidR="009C0B6D" w:rsidRPr="009C0B6D" w:rsidTr="009C0B6D">
        <w:trPr>
          <w:tblCellSpacing w:w="0" w:type="dxa"/>
        </w:trPr>
        <w:tc>
          <w:tcPr>
            <w:tcW w:w="3981" w:type="pct"/>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Smoking history</w:t>
            </w:r>
          </w:p>
        </w:tc>
        <w:tc>
          <w:tcPr>
            <w:tcW w:w="474"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28</w:t>
            </w:r>
          </w:p>
        </w:tc>
        <w:tc>
          <w:tcPr>
            <w:tcW w:w="545"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19.2</w:t>
            </w:r>
          </w:p>
        </w:tc>
      </w:tr>
      <w:tr w:rsidR="009C0B6D" w:rsidRPr="009C0B6D" w:rsidTr="009C0B6D">
        <w:trPr>
          <w:tblCellSpacing w:w="0" w:type="dxa"/>
        </w:trPr>
        <w:tc>
          <w:tcPr>
            <w:tcW w:w="3981" w:type="pct"/>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Sarcopenia / reduced muscle mass</w:t>
            </w:r>
          </w:p>
        </w:tc>
        <w:tc>
          <w:tcPr>
            <w:tcW w:w="474"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37</w:t>
            </w:r>
          </w:p>
        </w:tc>
        <w:tc>
          <w:tcPr>
            <w:tcW w:w="545"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25.3</w:t>
            </w:r>
          </w:p>
        </w:tc>
      </w:tr>
      <w:tr w:rsidR="009C0B6D" w:rsidRPr="009C0B6D" w:rsidTr="009C0B6D">
        <w:trPr>
          <w:tblCellSpacing w:w="0" w:type="dxa"/>
        </w:trPr>
        <w:tc>
          <w:tcPr>
            <w:tcW w:w="3981" w:type="pct"/>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Tendinopathy on imaging</w:t>
            </w:r>
          </w:p>
        </w:tc>
        <w:tc>
          <w:tcPr>
            <w:tcW w:w="474"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62</w:t>
            </w:r>
          </w:p>
        </w:tc>
        <w:tc>
          <w:tcPr>
            <w:tcW w:w="545"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42.5</w:t>
            </w:r>
          </w:p>
        </w:tc>
      </w:tr>
      <w:tr w:rsidR="009C0B6D" w:rsidRPr="009C0B6D" w:rsidTr="009C0B6D">
        <w:trPr>
          <w:tblCellSpacing w:w="0" w:type="dxa"/>
        </w:trPr>
        <w:tc>
          <w:tcPr>
            <w:tcW w:w="3981" w:type="pct"/>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Partial-thickness tear</w:t>
            </w:r>
          </w:p>
        </w:tc>
        <w:tc>
          <w:tcPr>
            <w:tcW w:w="474"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51</w:t>
            </w:r>
          </w:p>
        </w:tc>
        <w:tc>
          <w:tcPr>
            <w:tcW w:w="545"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34.9</w:t>
            </w:r>
          </w:p>
        </w:tc>
      </w:tr>
      <w:tr w:rsidR="009C0B6D" w:rsidRPr="009C0B6D" w:rsidTr="009C0B6D">
        <w:trPr>
          <w:tblCellSpacing w:w="0" w:type="dxa"/>
        </w:trPr>
        <w:tc>
          <w:tcPr>
            <w:tcW w:w="3981" w:type="pct"/>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Full-thickness tear</w:t>
            </w:r>
          </w:p>
        </w:tc>
        <w:tc>
          <w:tcPr>
            <w:tcW w:w="474"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33</w:t>
            </w:r>
          </w:p>
        </w:tc>
        <w:tc>
          <w:tcPr>
            <w:tcW w:w="545"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22.6</w:t>
            </w:r>
          </w:p>
        </w:tc>
      </w:tr>
      <w:tr w:rsidR="009C0B6D" w:rsidRPr="009C0B6D" w:rsidTr="009C0B6D">
        <w:trPr>
          <w:tblCellSpacing w:w="0" w:type="dxa"/>
        </w:trPr>
        <w:tc>
          <w:tcPr>
            <w:tcW w:w="3981" w:type="pct"/>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Supraspinatus involvement</w:t>
            </w:r>
          </w:p>
        </w:tc>
        <w:tc>
          <w:tcPr>
            <w:tcW w:w="474"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104</w:t>
            </w:r>
          </w:p>
        </w:tc>
        <w:tc>
          <w:tcPr>
            <w:tcW w:w="545"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71.2</w:t>
            </w:r>
          </w:p>
        </w:tc>
      </w:tr>
      <w:tr w:rsidR="009C0B6D" w:rsidRPr="009C0B6D" w:rsidTr="009C0B6D">
        <w:trPr>
          <w:tblCellSpacing w:w="0" w:type="dxa"/>
        </w:trPr>
        <w:tc>
          <w:tcPr>
            <w:tcW w:w="3981" w:type="pct"/>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Subscapularis involvement</w:t>
            </w:r>
          </w:p>
        </w:tc>
        <w:tc>
          <w:tcPr>
            <w:tcW w:w="474"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25</w:t>
            </w:r>
          </w:p>
        </w:tc>
        <w:tc>
          <w:tcPr>
            <w:tcW w:w="545"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17.1</w:t>
            </w:r>
          </w:p>
        </w:tc>
      </w:tr>
      <w:tr w:rsidR="009C0B6D" w:rsidRPr="009C0B6D" w:rsidTr="009C0B6D">
        <w:trPr>
          <w:tblCellSpacing w:w="0" w:type="dxa"/>
        </w:trPr>
        <w:tc>
          <w:tcPr>
            <w:tcW w:w="3981" w:type="pct"/>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Biceps tendon involvement</w:t>
            </w:r>
          </w:p>
        </w:tc>
        <w:tc>
          <w:tcPr>
            <w:tcW w:w="474"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29</w:t>
            </w:r>
          </w:p>
        </w:tc>
        <w:tc>
          <w:tcPr>
            <w:tcW w:w="545"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19.9</w:t>
            </w:r>
          </w:p>
        </w:tc>
      </w:tr>
      <w:tr w:rsidR="009C0B6D" w:rsidRPr="009C0B6D" w:rsidTr="009C0B6D">
        <w:trPr>
          <w:tblCellSpacing w:w="0" w:type="dxa"/>
        </w:trPr>
        <w:tc>
          <w:tcPr>
            <w:tcW w:w="3981" w:type="pct"/>
            <w:tcBorders>
              <w:bottom w:val="single" w:sz="4" w:space="0" w:color="auto"/>
            </w:tcBorders>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Fatty infiltration present</w:t>
            </w:r>
          </w:p>
        </w:tc>
        <w:tc>
          <w:tcPr>
            <w:tcW w:w="474" w:type="pct"/>
            <w:tcBorders>
              <w:bottom w:val="single" w:sz="4" w:space="0" w:color="auto"/>
            </w:tcBorders>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42</w:t>
            </w:r>
          </w:p>
        </w:tc>
        <w:tc>
          <w:tcPr>
            <w:tcW w:w="545" w:type="pct"/>
            <w:tcBorders>
              <w:bottom w:val="single" w:sz="4" w:space="0" w:color="auto"/>
            </w:tcBorders>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28.8</w:t>
            </w:r>
          </w:p>
        </w:tc>
      </w:tr>
    </w:tbl>
    <w:p w:rsidR="009C0B6D" w:rsidRPr="009C0B6D" w:rsidRDefault="009C0B6D" w:rsidP="009C0B6D">
      <w:pPr>
        <w:pStyle w:val="Body"/>
      </w:pPr>
      <w:r w:rsidRPr="009C0B6D">
        <w:t xml:space="preserve">Ultrasonography demonstrated a high rate of positivity for rotator cuff abnormalities, identifying pathological findings in 74.0% of participants, while reference imaging confirmed abnormalities in 76.7% of cases. Concordance between ultrasound and reference imaging diagnoses was observed in 86.3% of participants. Ultrasound produced 8 false-negative results and 12 false-positive findings. Overall diagnostic sensitivity and specificity of ultrasonography were 92.9% and 64.7%, respectively, with an overall diagnostic accuracy of 86.3%. Poor clinical outcomes were observed in 26.7% of patients, and surgical referral was advised in 24.7% of cases. Follow-up VAS pain scores improved substantially compared with baseline values, decreasing from 6.4 ± 1.5 to 3.1 ± 1.8 during follow-up assessment (Table 3). </w:t>
      </w:r>
    </w:p>
    <w:p w:rsidR="009C0B6D" w:rsidRPr="009C0B6D" w:rsidRDefault="009C0B6D" w:rsidP="009C0B6D">
      <w:pPr>
        <w:pStyle w:val="Caption"/>
      </w:pPr>
      <w:r w:rsidRPr="009C0B6D">
        <w:t>Table 3. Diagnostic Performance and Clinical Outcomes of Ultrasonography</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852"/>
        <w:gridCol w:w="431"/>
        <w:gridCol w:w="1663"/>
        <w:gridCol w:w="1081"/>
      </w:tblGrid>
      <w:tr w:rsidR="009C0B6D" w:rsidRPr="009C0B6D" w:rsidTr="009C0B6D">
        <w:trPr>
          <w:tblHeader/>
          <w:tblCellSpacing w:w="0" w:type="dxa"/>
        </w:trPr>
        <w:tc>
          <w:tcPr>
            <w:tcW w:w="3241" w:type="pct"/>
            <w:tcBorders>
              <w:top w:val="single" w:sz="4" w:space="0" w:color="auto"/>
              <w:bottom w:val="single" w:sz="4" w:space="0" w:color="000000"/>
            </w:tcBorders>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Outcome Variable</w:t>
            </w:r>
          </w:p>
        </w:tc>
        <w:tc>
          <w:tcPr>
            <w:tcW w:w="239" w:type="pct"/>
            <w:tcBorders>
              <w:top w:val="single" w:sz="4" w:space="0" w:color="auto"/>
              <w:bottom w:val="single" w:sz="4" w:space="0" w:color="000000"/>
            </w:tcBorders>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n</w:t>
            </w:r>
          </w:p>
        </w:tc>
        <w:tc>
          <w:tcPr>
            <w:tcW w:w="921" w:type="pct"/>
            <w:tcBorders>
              <w:top w:val="single" w:sz="4" w:space="0" w:color="auto"/>
              <w:bottom w:val="single" w:sz="4" w:space="0" w:color="000000"/>
            </w:tcBorders>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 / Mean ± SD</w:t>
            </w:r>
          </w:p>
        </w:tc>
        <w:tc>
          <w:tcPr>
            <w:tcW w:w="600" w:type="pct"/>
            <w:tcBorders>
              <w:top w:val="single" w:sz="4" w:space="0" w:color="auto"/>
              <w:bottom w:val="single" w:sz="4" w:space="0" w:color="000000"/>
            </w:tcBorders>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95% CI</w:t>
            </w:r>
          </w:p>
        </w:tc>
      </w:tr>
      <w:tr w:rsidR="009C0B6D" w:rsidRPr="009C0B6D" w:rsidTr="009C0B6D">
        <w:trPr>
          <w:tblCellSpacing w:w="0" w:type="dxa"/>
        </w:trPr>
        <w:tc>
          <w:tcPr>
            <w:tcW w:w="3241" w:type="pct"/>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Ultrasound positive for rotator cuff abnormality</w:t>
            </w:r>
          </w:p>
        </w:tc>
        <w:tc>
          <w:tcPr>
            <w:tcW w:w="239"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108</w:t>
            </w:r>
          </w:p>
        </w:tc>
        <w:tc>
          <w:tcPr>
            <w:tcW w:w="921"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74.0</w:t>
            </w:r>
          </w:p>
        </w:tc>
        <w:tc>
          <w:tcPr>
            <w:tcW w:w="600"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66.2–80.7</w:t>
            </w:r>
          </w:p>
        </w:tc>
      </w:tr>
      <w:tr w:rsidR="009C0B6D" w:rsidRPr="009C0B6D" w:rsidTr="009C0B6D">
        <w:trPr>
          <w:tblCellSpacing w:w="0" w:type="dxa"/>
        </w:trPr>
        <w:tc>
          <w:tcPr>
            <w:tcW w:w="3241" w:type="pct"/>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Reference imaging positive for rotator cuff abnormality</w:t>
            </w:r>
          </w:p>
        </w:tc>
        <w:tc>
          <w:tcPr>
            <w:tcW w:w="239"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112</w:t>
            </w:r>
          </w:p>
        </w:tc>
        <w:tc>
          <w:tcPr>
            <w:tcW w:w="921"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76.7</w:t>
            </w:r>
          </w:p>
        </w:tc>
        <w:tc>
          <w:tcPr>
            <w:tcW w:w="600"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69.1–83.0</w:t>
            </w:r>
          </w:p>
        </w:tc>
      </w:tr>
      <w:tr w:rsidR="009C0B6D" w:rsidRPr="009C0B6D" w:rsidTr="009C0B6D">
        <w:trPr>
          <w:tblCellSpacing w:w="0" w:type="dxa"/>
        </w:trPr>
        <w:tc>
          <w:tcPr>
            <w:tcW w:w="3241" w:type="pct"/>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Concordant ultrasound and reference diagnosis</w:t>
            </w:r>
          </w:p>
        </w:tc>
        <w:tc>
          <w:tcPr>
            <w:tcW w:w="239"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126</w:t>
            </w:r>
          </w:p>
        </w:tc>
        <w:tc>
          <w:tcPr>
            <w:tcW w:w="921"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86.3</w:t>
            </w:r>
          </w:p>
        </w:tc>
        <w:tc>
          <w:tcPr>
            <w:tcW w:w="600"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79.7–91.3</w:t>
            </w:r>
          </w:p>
        </w:tc>
      </w:tr>
      <w:tr w:rsidR="009C0B6D" w:rsidRPr="009C0B6D" w:rsidTr="009C0B6D">
        <w:trPr>
          <w:tblCellSpacing w:w="0" w:type="dxa"/>
        </w:trPr>
        <w:tc>
          <w:tcPr>
            <w:tcW w:w="3241" w:type="pct"/>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False-negative ultrasound result</w:t>
            </w:r>
          </w:p>
        </w:tc>
        <w:tc>
          <w:tcPr>
            <w:tcW w:w="239"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8</w:t>
            </w:r>
          </w:p>
        </w:tc>
        <w:tc>
          <w:tcPr>
            <w:tcW w:w="921"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5.5</w:t>
            </w:r>
          </w:p>
        </w:tc>
        <w:tc>
          <w:tcPr>
            <w:tcW w:w="600"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2.4–10.5</w:t>
            </w:r>
          </w:p>
        </w:tc>
      </w:tr>
      <w:tr w:rsidR="009C0B6D" w:rsidRPr="009C0B6D" w:rsidTr="009C0B6D">
        <w:trPr>
          <w:tblCellSpacing w:w="0" w:type="dxa"/>
        </w:trPr>
        <w:tc>
          <w:tcPr>
            <w:tcW w:w="3241" w:type="pct"/>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False-positive ultrasound result</w:t>
            </w:r>
          </w:p>
        </w:tc>
        <w:tc>
          <w:tcPr>
            <w:tcW w:w="239"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12</w:t>
            </w:r>
          </w:p>
        </w:tc>
        <w:tc>
          <w:tcPr>
            <w:tcW w:w="921"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8.2</w:t>
            </w:r>
          </w:p>
        </w:tc>
        <w:tc>
          <w:tcPr>
            <w:tcW w:w="600"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4.3–13.9</w:t>
            </w:r>
          </w:p>
        </w:tc>
      </w:tr>
      <w:tr w:rsidR="009C0B6D" w:rsidRPr="009C0B6D" w:rsidTr="009C0B6D">
        <w:trPr>
          <w:tblCellSpacing w:w="0" w:type="dxa"/>
        </w:trPr>
        <w:tc>
          <w:tcPr>
            <w:tcW w:w="3241" w:type="pct"/>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Diagnostic sensitivity</w:t>
            </w:r>
          </w:p>
        </w:tc>
        <w:tc>
          <w:tcPr>
            <w:tcW w:w="239"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w:t>
            </w:r>
          </w:p>
        </w:tc>
        <w:tc>
          <w:tcPr>
            <w:tcW w:w="921"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92.9%</w:t>
            </w:r>
          </w:p>
        </w:tc>
        <w:tc>
          <w:tcPr>
            <w:tcW w:w="600"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86.5–96.9</w:t>
            </w:r>
          </w:p>
        </w:tc>
      </w:tr>
      <w:tr w:rsidR="009C0B6D" w:rsidRPr="009C0B6D" w:rsidTr="009C0B6D">
        <w:trPr>
          <w:tblCellSpacing w:w="0" w:type="dxa"/>
        </w:trPr>
        <w:tc>
          <w:tcPr>
            <w:tcW w:w="3241" w:type="pct"/>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Diagnostic specificity</w:t>
            </w:r>
          </w:p>
        </w:tc>
        <w:tc>
          <w:tcPr>
            <w:tcW w:w="239"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w:t>
            </w:r>
          </w:p>
        </w:tc>
        <w:tc>
          <w:tcPr>
            <w:tcW w:w="921"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64.7%</w:t>
            </w:r>
          </w:p>
        </w:tc>
        <w:tc>
          <w:tcPr>
            <w:tcW w:w="600"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46.5–80.3</w:t>
            </w:r>
          </w:p>
        </w:tc>
      </w:tr>
      <w:tr w:rsidR="009C0B6D" w:rsidRPr="009C0B6D" w:rsidTr="009C0B6D">
        <w:trPr>
          <w:tblCellSpacing w:w="0" w:type="dxa"/>
        </w:trPr>
        <w:tc>
          <w:tcPr>
            <w:tcW w:w="3241" w:type="pct"/>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Overall diagnostic accuracy</w:t>
            </w:r>
          </w:p>
        </w:tc>
        <w:tc>
          <w:tcPr>
            <w:tcW w:w="239"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w:t>
            </w:r>
          </w:p>
        </w:tc>
        <w:tc>
          <w:tcPr>
            <w:tcW w:w="921"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86.3%</w:t>
            </w:r>
          </w:p>
        </w:tc>
        <w:tc>
          <w:tcPr>
            <w:tcW w:w="600"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79.7–91.3</w:t>
            </w:r>
          </w:p>
        </w:tc>
      </w:tr>
      <w:tr w:rsidR="009C0B6D" w:rsidRPr="009C0B6D" w:rsidTr="009C0B6D">
        <w:trPr>
          <w:tblCellSpacing w:w="0" w:type="dxa"/>
        </w:trPr>
        <w:tc>
          <w:tcPr>
            <w:tcW w:w="3241" w:type="pct"/>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Poor clinical outcome</w:t>
            </w:r>
          </w:p>
        </w:tc>
        <w:tc>
          <w:tcPr>
            <w:tcW w:w="239"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39</w:t>
            </w:r>
          </w:p>
        </w:tc>
        <w:tc>
          <w:tcPr>
            <w:tcW w:w="921"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26.7</w:t>
            </w:r>
          </w:p>
        </w:tc>
        <w:tc>
          <w:tcPr>
            <w:tcW w:w="600"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19.8–34.7</w:t>
            </w:r>
          </w:p>
        </w:tc>
      </w:tr>
      <w:tr w:rsidR="009C0B6D" w:rsidRPr="009C0B6D" w:rsidTr="009C0B6D">
        <w:trPr>
          <w:tblCellSpacing w:w="0" w:type="dxa"/>
        </w:trPr>
        <w:tc>
          <w:tcPr>
            <w:tcW w:w="3241" w:type="pct"/>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Surgical referral advised</w:t>
            </w:r>
          </w:p>
        </w:tc>
        <w:tc>
          <w:tcPr>
            <w:tcW w:w="239"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36</w:t>
            </w:r>
          </w:p>
        </w:tc>
        <w:tc>
          <w:tcPr>
            <w:tcW w:w="921"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24.7</w:t>
            </w:r>
          </w:p>
        </w:tc>
        <w:tc>
          <w:tcPr>
            <w:tcW w:w="600"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18.0–32.5</w:t>
            </w:r>
          </w:p>
        </w:tc>
      </w:tr>
      <w:tr w:rsidR="009C0B6D" w:rsidRPr="009C0B6D" w:rsidTr="009C0B6D">
        <w:trPr>
          <w:tblCellSpacing w:w="0" w:type="dxa"/>
        </w:trPr>
        <w:tc>
          <w:tcPr>
            <w:tcW w:w="3241" w:type="pct"/>
            <w:tcBorders>
              <w:bottom w:val="single" w:sz="4" w:space="0" w:color="auto"/>
            </w:tcBorders>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lastRenderedPageBreak/>
              <w:t>Follow-up pain score (VAS 0–10)</w:t>
            </w:r>
          </w:p>
        </w:tc>
        <w:tc>
          <w:tcPr>
            <w:tcW w:w="239" w:type="pct"/>
            <w:tcBorders>
              <w:bottom w:val="single" w:sz="4" w:space="0" w:color="auto"/>
            </w:tcBorders>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146</w:t>
            </w:r>
          </w:p>
        </w:tc>
        <w:tc>
          <w:tcPr>
            <w:tcW w:w="921" w:type="pct"/>
            <w:tcBorders>
              <w:bottom w:val="single" w:sz="4" w:space="0" w:color="auto"/>
            </w:tcBorders>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3.1 ± 1.8</w:t>
            </w:r>
          </w:p>
        </w:tc>
        <w:tc>
          <w:tcPr>
            <w:tcW w:w="600" w:type="pct"/>
            <w:tcBorders>
              <w:bottom w:val="single" w:sz="4" w:space="0" w:color="auto"/>
            </w:tcBorders>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w:t>
            </w:r>
          </w:p>
        </w:tc>
      </w:tr>
    </w:tbl>
    <w:p w:rsidR="009C0B6D" w:rsidRPr="009C0B6D" w:rsidRDefault="009C0B6D" w:rsidP="009C0B6D">
      <w:pPr>
        <w:pStyle w:val="Body"/>
      </w:pPr>
      <w:r w:rsidRPr="009C0B6D">
        <w:t xml:space="preserve">Inferential analysis demonstrated several clinically significant predictors of poor clinical outcome. Patients with full-thickness rotator cuff tears exhibited more than threefold higher odds of poor outcome compared with those without full-thickness tears (OR: 3.12; 95% CI: 1.37–7.10; p=0.007). Fatty infiltration was also significantly associated with adverse clinical outcomes (OR: 2.46; 95% CI: 1.12–5.41; p=0.025). Similarly, sarcopenia or reduced muscle mass increased the likelihood of poor clinical outcome by approximately 2.8-fold (OR: 2.78; 95% CI: 1.23–6.29; p=0.014). Symptom duration of six months or longer and high baseline pain scores were independently associated with poorer outcomes (p&lt;0.05 for both). Although older age demonstrated a trend toward worse outcomes, the association did not reach statistical significance (p=0.104). Diabetes mellitus also failed to demonstrate an independent association with poor clinical outcome (p=0.214) (Table 4). </w:t>
      </w:r>
    </w:p>
    <w:p w:rsidR="009C0B6D" w:rsidRPr="009C0B6D" w:rsidRDefault="009C0B6D" w:rsidP="009C0B6D">
      <w:pPr>
        <w:pStyle w:val="Caption"/>
      </w:pPr>
      <w:r w:rsidRPr="009C0B6D">
        <w:t>Table 4. Inferential Analysis of Predictors Associated With Poor Clinical Outcome</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273"/>
        <w:gridCol w:w="355"/>
        <w:gridCol w:w="2152"/>
        <w:gridCol w:w="1278"/>
        <w:gridCol w:w="969"/>
      </w:tblGrid>
      <w:tr w:rsidR="009C0B6D" w:rsidRPr="009C0B6D" w:rsidTr="009C0B6D">
        <w:trPr>
          <w:tblHeader/>
          <w:tblCellSpacing w:w="0" w:type="dxa"/>
        </w:trPr>
        <w:tc>
          <w:tcPr>
            <w:tcW w:w="2366" w:type="pct"/>
            <w:tcBorders>
              <w:top w:val="single" w:sz="4" w:space="0" w:color="auto"/>
              <w:bottom w:val="single" w:sz="4" w:space="0" w:color="000000"/>
            </w:tcBorders>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Predictor Variable</w:t>
            </w:r>
          </w:p>
        </w:tc>
        <w:tc>
          <w:tcPr>
            <w:tcW w:w="196" w:type="pct"/>
            <w:tcBorders>
              <w:top w:val="single" w:sz="4" w:space="0" w:color="auto"/>
              <w:bottom w:val="single" w:sz="4" w:space="0" w:color="000000"/>
            </w:tcBorders>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n</w:t>
            </w:r>
          </w:p>
        </w:tc>
        <w:tc>
          <w:tcPr>
            <w:tcW w:w="1192" w:type="pct"/>
            <w:tcBorders>
              <w:top w:val="single" w:sz="4" w:space="0" w:color="auto"/>
              <w:bottom w:val="single" w:sz="4" w:space="0" w:color="000000"/>
            </w:tcBorders>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Odds Ratio (OR)</w:t>
            </w:r>
          </w:p>
        </w:tc>
        <w:tc>
          <w:tcPr>
            <w:tcW w:w="708" w:type="pct"/>
            <w:tcBorders>
              <w:top w:val="single" w:sz="4" w:space="0" w:color="auto"/>
              <w:bottom w:val="single" w:sz="4" w:space="0" w:color="000000"/>
            </w:tcBorders>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95% CI</w:t>
            </w:r>
          </w:p>
        </w:tc>
        <w:tc>
          <w:tcPr>
            <w:tcW w:w="537" w:type="pct"/>
            <w:tcBorders>
              <w:top w:val="single" w:sz="4" w:space="0" w:color="auto"/>
              <w:bottom w:val="single" w:sz="4" w:space="0" w:color="000000"/>
            </w:tcBorders>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p-value</w:t>
            </w:r>
          </w:p>
        </w:tc>
      </w:tr>
      <w:tr w:rsidR="009C0B6D" w:rsidRPr="009C0B6D" w:rsidTr="009C0B6D">
        <w:trPr>
          <w:tblCellSpacing w:w="0" w:type="dxa"/>
        </w:trPr>
        <w:tc>
          <w:tcPr>
            <w:tcW w:w="2366" w:type="pct"/>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Age ≥50 years</w:t>
            </w:r>
          </w:p>
        </w:tc>
        <w:tc>
          <w:tcPr>
            <w:tcW w:w="196"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85</w:t>
            </w:r>
          </w:p>
        </w:tc>
        <w:tc>
          <w:tcPr>
            <w:tcW w:w="1192"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1.84</w:t>
            </w:r>
          </w:p>
        </w:tc>
        <w:tc>
          <w:tcPr>
            <w:tcW w:w="708"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0.88–3.86</w:t>
            </w:r>
          </w:p>
        </w:tc>
        <w:tc>
          <w:tcPr>
            <w:tcW w:w="537"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0.104</w:t>
            </w:r>
          </w:p>
        </w:tc>
      </w:tr>
      <w:tr w:rsidR="009C0B6D" w:rsidRPr="009C0B6D" w:rsidTr="009C0B6D">
        <w:trPr>
          <w:tblCellSpacing w:w="0" w:type="dxa"/>
        </w:trPr>
        <w:tc>
          <w:tcPr>
            <w:tcW w:w="2366" w:type="pct"/>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Full-thickness tear</w:t>
            </w:r>
          </w:p>
        </w:tc>
        <w:tc>
          <w:tcPr>
            <w:tcW w:w="196"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33</w:t>
            </w:r>
          </w:p>
        </w:tc>
        <w:tc>
          <w:tcPr>
            <w:tcW w:w="1192"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3.12</w:t>
            </w:r>
          </w:p>
        </w:tc>
        <w:tc>
          <w:tcPr>
            <w:tcW w:w="708"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1.37–7.10</w:t>
            </w:r>
          </w:p>
        </w:tc>
        <w:tc>
          <w:tcPr>
            <w:tcW w:w="537"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0.007</w:t>
            </w:r>
          </w:p>
        </w:tc>
      </w:tr>
      <w:tr w:rsidR="009C0B6D" w:rsidRPr="009C0B6D" w:rsidTr="009C0B6D">
        <w:trPr>
          <w:tblCellSpacing w:w="0" w:type="dxa"/>
        </w:trPr>
        <w:tc>
          <w:tcPr>
            <w:tcW w:w="2366" w:type="pct"/>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Fatty infiltration</w:t>
            </w:r>
          </w:p>
        </w:tc>
        <w:tc>
          <w:tcPr>
            <w:tcW w:w="196"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42</w:t>
            </w:r>
          </w:p>
        </w:tc>
        <w:tc>
          <w:tcPr>
            <w:tcW w:w="1192"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2.46</w:t>
            </w:r>
          </w:p>
        </w:tc>
        <w:tc>
          <w:tcPr>
            <w:tcW w:w="708"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1.12–5.41</w:t>
            </w:r>
          </w:p>
        </w:tc>
        <w:tc>
          <w:tcPr>
            <w:tcW w:w="537"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0.025</w:t>
            </w:r>
          </w:p>
        </w:tc>
      </w:tr>
      <w:tr w:rsidR="009C0B6D" w:rsidRPr="009C0B6D" w:rsidTr="009C0B6D">
        <w:trPr>
          <w:tblCellSpacing w:w="0" w:type="dxa"/>
        </w:trPr>
        <w:tc>
          <w:tcPr>
            <w:tcW w:w="2366" w:type="pct"/>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Sarcopenia / reduced muscle mass</w:t>
            </w:r>
          </w:p>
        </w:tc>
        <w:tc>
          <w:tcPr>
            <w:tcW w:w="196"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37</w:t>
            </w:r>
          </w:p>
        </w:tc>
        <w:tc>
          <w:tcPr>
            <w:tcW w:w="1192"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2.78</w:t>
            </w:r>
          </w:p>
        </w:tc>
        <w:tc>
          <w:tcPr>
            <w:tcW w:w="708"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1.23–6.29</w:t>
            </w:r>
          </w:p>
        </w:tc>
        <w:tc>
          <w:tcPr>
            <w:tcW w:w="537"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0.014</w:t>
            </w:r>
          </w:p>
        </w:tc>
      </w:tr>
      <w:tr w:rsidR="009C0B6D" w:rsidRPr="009C0B6D" w:rsidTr="009C0B6D">
        <w:trPr>
          <w:tblCellSpacing w:w="0" w:type="dxa"/>
        </w:trPr>
        <w:tc>
          <w:tcPr>
            <w:tcW w:w="2366" w:type="pct"/>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Diabetes mellitus</w:t>
            </w:r>
          </w:p>
        </w:tc>
        <w:tc>
          <w:tcPr>
            <w:tcW w:w="196"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34</w:t>
            </w:r>
          </w:p>
        </w:tc>
        <w:tc>
          <w:tcPr>
            <w:tcW w:w="1192"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1.69</w:t>
            </w:r>
          </w:p>
        </w:tc>
        <w:tc>
          <w:tcPr>
            <w:tcW w:w="708"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0.74–3.86</w:t>
            </w:r>
          </w:p>
        </w:tc>
        <w:tc>
          <w:tcPr>
            <w:tcW w:w="537"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0.214</w:t>
            </w:r>
          </w:p>
        </w:tc>
      </w:tr>
      <w:tr w:rsidR="009C0B6D" w:rsidRPr="009C0B6D" w:rsidTr="009C0B6D">
        <w:trPr>
          <w:tblCellSpacing w:w="0" w:type="dxa"/>
        </w:trPr>
        <w:tc>
          <w:tcPr>
            <w:tcW w:w="2366" w:type="pct"/>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Symptom duration ≥6 months</w:t>
            </w:r>
          </w:p>
        </w:tc>
        <w:tc>
          <w:tcPr>
            <w:tcW w:w="196"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79</w:t>
            </w:r>
          </w:p>
        </w:tc>
        <w:tc>
          <w:tcPr>
            <w:tcW w:w="1192"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2.21</w:t>
            </w:r>
          </w:p>
        </w:tc>
        <w:tc>
          <w:tcPr>
            <w:tcW w:w="708"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1.02–4.80</w:t>
            </w:r>
          </w:p>
        </w:tc>
        <w:tc>
          <w:tcPr>
            <w:tcW w:w="537"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0.044</w:t>
            </w:r>
          </w:p>
        </w:tc>
      </w:tr>
      <w:tr w:rsidR="009C0B6D" w:rsidRPr="009C0B6D" w:rsidTr="009C0B6D">
        <w:trPr>
          <w:tblCellSpacing w:w="0" w:type="dxa"/>
        </w:trPr>
        <w:tc>
          <w:tcPr>
            <w:tcW w:w="2366" w:type="pct"/>
            <w:tcBorders>
              <w:bottom w:val="single" w:sz="4" w:space="0" w:color="auto"/>
            </w:tcBorders>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High baseline pain score ≥7</w:t>
            </w:r>
          </w:p>
        </w:tc>
        <w:tc>
          <w:tcPr>
            <w:tcW w:w="196" w:type="pct"/>
            <w:tcBorders>
              <w:bottom w:val="single" w:sz="4" w:space="0" w:color="auto"/>
            </w:tcBorders>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57</w:t>
            </w:r>
          </w:p>
        </w:tc>
        <w:tc>
          <w:tcPr>
            <w:tcW w:w="1192" w:type="pct"/>
            <w:tcBorders>
              <w:bottom w:val="single" w:sz="4" w:space="0" w:color="auto"/>
            </w:tcBorders>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2.63</w:t>
            </w:r>
          </w:p>
        </w:tc>
        <w:tc>
          <w:tcPr>
            <w:tcW w:w="708" w:type="pct"/>
            <w:tcBorders>
              <w:bottom w:val="single" w:sz="4" w:space="0" w:color="auto"/>
            </w:tcBorders>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1.20–5.76</w:t>
            </w:r>
          </w:p>
        </w:tc>
        <w:tc>
          <w:tcPr>
            <w:tcW w:w="537" w:type="pct"/>
            <w:tcBorders>
              <w:bottom w:val="single" w:sz="4" w:space="0" w:color="auto"/>
            </w:tcBorders>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0.016</w:t>
            </w:r>
          </w:p>
        </w:tc>
      </w:tr>
    </w:tbl>
    <w:p w:rsidR="009C0B6D" w:rsidRPr="009C0B6D" w:rsidRDefault="009C0B6D" w:rsidP="009C0B6D">
      <w:pPr>
        <w:pStyle w:val="Body"/>
      </w:pPr>
      <w:r w:rsidRPr="009C0B6D">
        <w:t>To further evaluate diagnostic agreement, reconstruction of the diagnostic classification matrix demonstrated that ultrasonography correctly identified 104 true-positive and 22 true-negative cases, while 8 false-negative and 12 false-positive findings were observed relative to reference imaging standards. The positive predictive value of ultrasonography was 89.7%, whereas the negative predictive value was 73.3%, indicating strong capability for identifying clinically significant rotator cuff abnormalities in symptomatic patients (Table 5).</w:t>
      </w:r>
    </w:p>
    <w:p w:rsidR="009C0B6D" w:rsidRPr="009C0B6D" w:rsidRDefault="009C0B6D" w:rsidP="009C0B6D">
      <w:pPr>
        <w:pStyle w:val="Caption"/>
      </w:pPr>
      <w:r w:rsidRPr="009C0B6D">
        <w:t>Table 5. Diagnostic Classification Matrix of Ultrasonography Compared With Reference Imaging</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804"/>
        <w:gridCol w:w="2791"/>
        <w:gridCol w:w="2887"/>
        <w:gridCol w:w="545"/>
      </w:tblGrid>
      <w:tr w:rsidR="009C0B6D" w:rsidRPr="009C0B6D" w:rsidTr="009C0B6D">
        <w:trPr>
          <w:tblHeader/>
          <w:tblCellSpacing w:w="0" w:type="dxa"/>
        </w:trPr>
        <w:tc>
          <w:tcPr>
            <w:tcW w:w="1553" w:type="pct"/>
            <w:tcBorders>
              <w:top w:val="single" w:sz="4" w:space="0" w:color="auto"/>
              <w:bottom w:val="single" w:sz="4" w:space="0" w:color="000000"/>
            </w:tcBorders>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Ultrasound Findings</w:t>
            </w:r>
          </w:p>
        </w:tc>
        <w:tc>
          <w:tcPr>
            <w:tcW w:w="1546" w:type="pct"/>
            <w:tcBorders>
              <w:top w:val="single" w:sz="4" w:space="0" w:color="auto"/>
              <w:bottom w:val="single" w:sz="4" w:space="0" w:color="000000"/>
            </w:tcBorders>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Reference Imaging Positive</w:t>
            </w:r>
          </w:p>
        </w:tc>
        <w:tc>
          <w:tcPr>
            <w:tcW w:w="1599" w:type="pct"/>
            <w:tcBorders>
              <w:top w:val="single" w:sz="4" w:space="0" w:color="auto"/>
              <w:bottom w:val="single" w:sz="4" w:space="0" w:color="000000"/>
            </w:tcBorders>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Reference Imaging Negative</w:t>
            </w:r>
          </w:p>
        </w:tc>
        <w:tc>
          <w:tcPr>
            <w:tcW w:w="301" w:type="pct"/>
            <w:tcBorders>
              <w:top w:val="single" w:sz="4" w:space="0" w:color="auto"/>
              <w:bottom w:val="single" w:sz="4" w:space="0" w:color="000000"/>
            </w:tcBorders>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Total</w:t>
            </w:r>
          </w:p>
        </w:tc>
      </w:tr>
      <w:tr w:rsidR="009C0B6D" w:rsidRPr="009C0B6D" w:rsidTr="009C0B6D">
        <w:trPr>
          <w:tblCellSpacing w:w="0" w:type="dxa"/>
        </w:trPr>
        <w:tc>
          <w:tcPr>
            <w:tcW w:w="1553" w:type="pct"/>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Positive ultrasound result</w:t>
            </w:r>
          </w:p>
        </w:tc>
        <w:tc>
          <w:tcPr>
            <w:tcW w:w="1546"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104</w:t>
            </w:r>
          </w:p>
        </w:tc>
        <w:tc>
          <w:tcPr>
            <w:tcW w:w="1599"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12</w:t>
            </w:r>
          </w:p>
        </w:tc>
        <w:tc>
          <w:tcPr>
            <w:tcW w:w="301"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116</w:t>
            </w:r>
          </w:p>
        </w:tc>
      </w:tr>
      <w:tr w:rsidR="009C0B6D" w:rsidRPr="009C0B6D" w:rsidTr="009C0B6D">
        <w:trPr>
          <w:tblCellSpacing w:w="0" w:type="dxa"/>
        </w:trPr>
        <w:tc>
          <w:tcPr>
            <w:tcW w:w="1553" w:type="pct"/>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Negative ultrasound result</w:t>
            </w:r>
          </w:p>
        </w:tc>
        <w:tc>
          <w:tcPr>
            <w:tcW w:w="1546"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8</w:t>
            </w:r>
          </w:p>
        </w:tc>
        <w:tc>
          <w:tcPr>
            <w:tcW w:w="1599"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22</w:t>
            </w:r>
          </w:p>
        </w:tc>
        <w:tc>
          <w:tcPr>
            <w:tcW w:w="301"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30</w:t>
            </w:r>
          </w:p>
        </w:tc>
      </w:tr>
      <w:tr w:rsidR="009C0B6D" w:rsidRPr="009C0B6D" w:rsidTr="009C0B6D">
        <w:trPr>
          <w:tblCellSpacing w:w="0" w:type="dxa"/>
        </w:trPr>
        <w:tc>
          <w:tcPr>
            <w:tcW w:w="1553" w:type="pct"/>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Total</w:t>
            </w:r>
          </w:p>
        </w:tc>
        <w:tc>
          <w:tcPr>
            <w:tcW w:w="1546"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112</w:t>
            </w:r>
          </w:p>
        </w:tc>
        <w:tc>
          <w:tcPr>
            <w:tcW w:w="1599"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34</w:t>
            </w:r>
          </w:p>
        </w:tc>
        <w:tc>
          <w:tcPr>
            <w:tcW w:w="301"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146</w:t>
            </w:r>
          </w:p>
        </w:tc>
      </w:tr>
      <w:tr w:rsidR="009C0B6D" w:rsidRPr="009C0B6D" w:rsidTr="009C0B6D">
        <w:trPr>
          <w:gridAfter w:val="2"/>
          <w:wAfter w:w="1901" w:type="pct"/>
          <w:tblHeader/>
          <w:tblCellSpacing w:w="0" w:type="dxa"/>
        </w:trPr>
        <w:tc>
          <w:tcPr>
            <w:tcW w:w="1553" w:type="pct"/>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Diagnostic Indicator</w:t>
            </w:r>
          </w:p>
        </w:tc>
        <w:tc>
          <w:tcPr>
            <w:tcW w:w="1546"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Value (%)</w:t>
            </w:r>
          </w:p>
        </w:tc>
      </w:tr>
      <w:tr w:rsidR="009C0B6D" w:rsidRPr="009C0B6D" w:rsidTr="009C0B6D">
        <w:trPr>
          <w:gridAfter w:val="2"/>
          <w:wAfter w:w="1901" w:type="pct"/>
          <w:tblCellSpacing w:w="0" w:type="dxa"/>
        </w:trPr>
        <w:tc>
          <w:tcPr>
            <w:tcW w:w="1553" w:type="pct"/>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Sensitivity</w:t>
            </w:r>
          </w:p>
        </w:tc>
        <w:tc>
          <w:tcPr>
            <w:tcW w:w="1546"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92.9</w:t>
            </w:r>
          </w:p>
        </w:tc>
      </w:tr>
      <w:tr w:rsidR="009C0B6D" w:rsidRPr="009C0B6D" w:rsidTr="009C0B6D">
        <w:trPr>
          <w:gridAfter w:val="2"/>
          <w:wAfter w:w="1901" w:type="pct"/>
          <w:tblCellSpacing w:w="0" w:type="dxa"/>
        </w:trPr>
        <w:tc>
          <w:tcPr>
            <w:tcW w:w="1553" w:type="pct"/>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Specificity</w:t>
            </w:r>
          </w:p>
        </w:tc>
        <w:tc>
          <w:tcPr>
            <w:tcW w:w="1546"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64.7</w:t>
            </w:r>
          </w:p>
        </w:tc>
      </w:tr>
      <w:tr w:rsidR="009C0B6D" w:rsidRPr="009C0B6D" w:rsidTr="009C0B6D">
        <w:trPr>
          <w:gridAfter w:val="2"/>
          <w:wAfter w:w="1901" w:type="pct"/>
          <w:tblCellSpacing w:w="0" w:type="dxa"/>
        </w:trPr>
        <w:tc>
          <w:tcPr>
            <w:tcW w:w="1553" w:type="pct"/>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Positive predictive value</w:t>
            </w:r>
          </w:p>
        </w:tc>
        <w:tc>
          <w:tcPr>
            <w:tcW w:w="1546"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89.7</w:t>
            </w:r>
          </w:p>
        </w:tc>
      </w:tr>
      <w:tr w:rsidR="009C0B6D" w:rsidRPr="009C0B6D" w:rsidTr="009C0B6D">
        <w:trPr>
          <w:gridAfter w:val="2"/>
          <w:wAfter w:w="1901" w:type="pct"/>
          <w:tblCellSpacing w:w="0" w:type="dxa"/>
        </w:trPr>
        <w:tc>
          <w:tcPr>
            <w:tcW w:w="1553" w:type="pct"/>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Negative predictive value</w:t>
            </w:r>
          </w:p>
        </w:tc>
        <w:tc>
          <w:tcPr>
            <w:tcW w:w="1546" w:type="pct"/>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73.3</w:t>
            </w:r>
          </w:p>
        </w:tc>
      </w:tr>
      <w:tr w:rsidR="009C0B6D" w:rsidRPr="009C0B6D" w:rsidTr="009C0B6D">
        <w:trPr>
          <w:gridAfter w:val="2"/>
          <w:wAfter w:w="1901" w:type="pct"/>
          <w:tblCellSpacing w:w="0" w:type="dxa"/>
        </w:trPr>
        <w:tc>
          <w:tcPr>
            <w:tcW w:w="1553" w:type="pct"/>
            <w:tcBorders>
              <w:bottom w:val="single" w:sz="4" w:space="0" w:color="auto"/>
            </w:tcBorders>
            <w:shd w:val="clear" w:color="auto" w:fill="auto"/>
            <w:hideMark/>
          </w:tcPr>
          <w:p w:rsidR="009C0B6D" w:rsidRPr="009C0B6D" w:rsidRDefault="009C0B6D" w:rsidP="009C0B6D">
            <w:pPr>
              <w:pStyle w:val="Body"/>
              <w:spacing w:after="0" w:line="240" w:lineRule="auto"/>
              <w:jc w:val="left"/>
              <w:rPr>
                <w:b/>
                <w:color w:val="000000"/>
                <w:sz w:val="16"/>
              </w:rPr>
            </w:pPr>
            <w:r w:rsidRPr="009C0B6D">
              <w:rPr>
                <w:b/>
                <w:color w:val="000000"/>
                <w:sz w:val="16"/>
              </w:rPr>
              <w:t>Overall diagnostic accuracy</w:t>
            </w:r>
          </w:p>
        </w:tc>
        <w:tc>
          <w:tcPr>
            <w:tcW w:w="1546" w:type="pct"/>
            <w:tcBorders>
              <w:bottom w:val="single" w:sz="4" w:space="0" w:color="auto"/>
            </w:tcBorders>
            <w:shd w:val="clear" w:color="auto" w:fill="auto"/>
            <w:hideMark/>
          </w:tcPr>
          <w:p w:rsidR="009C0B6D" w:rsidRPr="009C0B6D" w:rsidRDefault="009C0B6D" w:rsidP="009C0B6D">
            <w:pPr>
              <w:pStyle w:val="Body"/>
              <w:spacing w:after="0" w:line="240" w:lineRule="auto"/>
              <w:jc w:val="left"/>
              <w:rPr>
                <w:color w:val="000000"/>
                <w:sz w:val="16"/>
              </w:rPr>
            </w:pPr>
            <w:r w:rsidRPr="009C0B6D">
              <w:rPr>
                <w:color w:val="000000"/>
                <w:sz w:val="16"/>
              </w:rPr>
              <w:t>86.3</w:t>
            </w:r>
          </w:p>
        </w:tc>
      </w:tr>
    </w:tbl>
    <w:p w:rsidR="009C0B6D" w:rsidRPr="009C0B6D" w:rsidRDefault="009C0B6D" w:rsidP="009C0B6D">
      <w:pPr>
        <w:pStyle w:val="Body"/>
      </w:pPr>
      <w:r w:rsidRPr="009C0B6D">
        <w:t xml:space="preserve">The study population consisted of 146 participants presenting with clinically suspected rotator cuff disorders, with a mean age of 51.2 ± 8.6 years. More than half of the patients were aged 50 years or older (58.2%), indicating a predominance of middle-aged and older individuals in the cohort. Male participants represented 53.4% of the sample, while females accounted for 46.6%. The dominant shoulder was involved in 62.3% of patients, and right-sided shoulder involvement was more frequent than left-sided involvement (60.3% vs. 39.7%). The mean symptom duration was 6.8 ± 3.4 months, reflecting a largely chronic symptomatic population. Baseline pain severity was substantial, with a mean visual analogue scale (VAS) score of 6.4 ± 1.5, and limited shoulder range of motion was documented in 57.5% of participants, suggesting considerable functional impairment at presentation (Table 1). </w:t>
      </w:r>
    </w:p>
    <w:p w:rsidR="009C0B6D" w:rsidRPr="009C0B6D" w:rsidRDefault="009C0B6D" w:rsidP="009C0B6D">
      <w:pPr>
        <w:pStyle w:val="Body"/>
      </w:pPr>
      <w:r w:rsidRPr="009C0B6D">
        <w:t xml:space="preserve">Comorbid medical conditions and degenerative musculoskeletal factors were frequently observed among study participants. Hypertension was the most common comorbidity, affecting 31.5% of patients, followed by obesity (26.7%), diabetes mellitus (23.3%), and smoking history (19.2%). Sarcopenia or reduced muscle mass was identified in 25.3% of participants, highlighting the contribution of age-related muscular degeneration to rotator cuff disease. Imaging findings demonstrated that tendinopathy was present in 42.5% of patients, whereas partial-thickness and full-thickness tears were detected in 34.9% and 22.6% of cases, respectively. Supraspinatus tendon involvement was the predominant abnormality, affecting 71.2% of participants, followed by biceps tendon involvement in 19.9% and subscapularis involvement in 17.1%. Fatty infiltration was observed in 28.8% of patients, indicating a considerable burden of chronic tendon degeneration and muscular compromise within the study population (Table 2). </w:t>
      </w:r>
    </w:p>
    <w:p w:rsidR="009C0B6D" w:rsidRPr="009C0B6D" w:rsidRDefault="009C0B6D" w:rsidP="009C0B6D">
      <w:pPr>
        <w:pStyle w:val="Body"/>
      </w:pPr>
      <w:r w:rsidRPr="009C0B6D">
        <w:lastRenderedPageBreak/>
        <w:t xml:space="preserve">Ultrasonography demonstrated strong diagnostic performance in identifying rotator cuff abnormalities. Positive ultrasonographic findings were observed in 74.0% of participants, while reference imaging confirmed rotator cuff pathology in 76.7% of cases. Concordance between ultrasound and reference imaging diagnoses was achieved in 86.3% of patients, reflecting a high level of diagnostic agreement. Only 5.5% of cases were categorized as false-negative findings, whereas false-positive results accounted for 8.2% of examinations. The overall sensitivity and specificity of ultrasonography were 92.9% and 64.7%, respectively, with an overall diagnostic accuracy of 86.3%. Clinically, poor outcomes were documented in 26.7% of patients, and surgical referral was recommended in 24.7% of cases. Follow-up assessment revealed a marked reduction in pain severity, with mean VAS scores decreasing from 6.4 ± 1.5 at baseline to 3.1 ± 1.8 during follow-up evaluation, demonstrating meaningful symptomatic improvement after management (Table 3). </w:t>
      </w:r>
    </w:p>
    <w:p w:rsidR="009C0B6D" w:rsidRPr="009C0B6D" w:rsidRDefault="009C0B6D" w:rsidP="009C0B6D">
      <w:pPr>
        <w:pStyle w:val="Body"/>
      </w:pPr>
      <w:r w:rsidRPr="009C0B6D">
        <w:t xml:space="preserve">Inferential analysis identified several factors significantly associated with poor clinical outcome. Full-thickness rotator cuff tears were the strongest predictor of adverse outcome, increasing the likelihood of poor clinical recovery by more than threefold (OR: 3.12; 95% CI: 1.37–7.10; p=0.007). Similarly, sarcopenia or reduced muscle mass was associated with significantly increased odds of poor outcome (OR: 2.78; 95% CI: 1.23–6.29; p=0.014), emphasizing the clinical relevance of muscular degeneration in rotator cuff disease. Fatty infiltration also demonstrated a significant association with poorer outcomes (OR: 2.46; 95% CI: 1.12–5.41; p=0.025). Patients with symptom duration of six months or longer showed more than double the risk of adverse outcome compared with those with shorter symptom duration (OR: 2.21; 95% CI: 1.02–4.80; p=0.044). High baseline pain scores were independently associated with poor prognosis (OR: 2.63; 95% CI: 1.20–5.76; p=0.016). Although older age demonstrated a trend toward worse outcomes, the relationship did not reach statistical significance (p=0.104). Likewise, diabetes mellitus was not independently associated with poor clinical outcome in the adjusted inferential analysis (p=0.214) (Table 4). </w:t>
      </w:r>
    </w:p>
    <w:p w:rsidR="009C0B6D" w:rsidRPr="009C0B6D" w:rsidRDefault="009C0B6D" w:rsidP="009C0B6D">
      <w:pPr>
        <w:pStyle w:val="Body"/>
      </w:pPr>
      <w:r w:rsidRPr="009C0B6D">
        <w:t xml:space="preserve">Further evaluation of the diagnostic classification matrix demonstrated that ultrasonography correctly identified 104 true-positive and 22 true-negative cases when compared with reference imaging. False-negative findings were limited to 8 cases, while 12 patients demonstrated false-positive ultrasound findings. The positive predictive value of ultrasonography was 89.7%, indicating that nearly nine out of ten ultrasound-positive patients truly had rotator cuff pathology confirmed on reference imaging. The negative predictive value was 73.3%, suggesting moderate reliability in excluding disease among ultrasound-negative cases. Collectively, these findings support the role of musculoskeletal ultrasonography as a highly sensitive and clinically valuable first-line imaging modality for the evaluation of rotator cuff disorders in symptomatic patients presenting to tertiary care orthopedic settings (Table 5). </w:t>
      </w:r>
    </w:p>
    <w:p w:rsidR="009C0B6D" w:rsidRPr="009C0B6D" w:rsidRDefault="009C0B6D" w:rsidP="009C0B6D">
      <w:pPr>
        <w:pStyle w:val="Body"/>
        <w:jc w:val="center"/>
      </w:pPr>
      <w:r>
        <w:rPr>
          <w:noProof/>
        </w:rPr>
        <w:drawing>
          <wp:inline distT="0" distB="0" distL="0" distR="0">
            <wp:extent cx="4572000" cy="2740566"/>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tGPT Image Jun 4, 2026, 01_04_38 P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2000" cy="2740566"/>
                    </a:xfrm>
                    <a:prstGeom prst="rect">
                      <a:avLst/>
                    </a:prstGeom>
                  </pic:spPr>
                </pic:pic>
              </a:graphicData>
            </a:graphic>
          </wp:inline>
        </w:drawing>
      </w:r>
    </w:p>
    <w:p w:rsidR="009C0B6D" w:rsidRPr="009C0B6D" w:rsidRDefault="009C0B6D" w:rsidP="009C0B6D">
      <w:pPr>
        <w:pStyle w:val="Body"/>
      </w:pPr>
    </w:p>
    <w:p w:rsidR="009C0B6D" w:rsidRPr="009C0B6D" w:rsidRDefault="009C0B6D" w:rsidP="009C0B6D">
      <w:pPr>
        <w:pStyle w:val="Caption"/>
      </w:pPr>
      <w:r w:rsidRPr="009C0B6D">
        <w:t>Figure 1. Clinical and Imaging Predictors Associated With Poor Clinical Outcome in Rotator Cuff Disorders</w:t>
      </w:r>
    </w:p>
    <w:p w:rsidR="009C0B6D" w:rsidRPr="009C0B6D" w:rsidRDefault="009C0B6D" w:rsidP="009C0B6D">
      <w:pPr>
        <w:pStyle w:val="Body"/>
      </w:pPr>
      <w:r w:rsidRPr="009C0B6D">
        <w:t xml:space="preserve">The figure demonstrates the relative strength and precision of clinical and imaging-related predictors associated with poor clinical outcome among patients with rotator cuff disorders. Full-thickness tears exhibited the strongest association with adverse outcome (OR: 3.12; 95% CI: 1.37–7.10; p=0.007), followed by sarcopenia or reduced </w:t>
      </w:r>
      <w:r w:rsidRPr="009C0B6D">
        <w:lastRenderedPageBreak/>
        <w:t>muscle mass (OR: 2.78; 95% CI: 1.23–6.29; p=0.014) and high baseline pain scores ≥7 (OR: 2.63; 95% CI: 1.20–5.76; p=0.016). Fatty infiltration and prolonged symptom duration ≥6 months were also independently associated with significantly increased odds of poor recovery, with odds ratios of 2.46 and 2.21, respectively. In contrast, age ≥50 years and diabetes mellitus demonstrated non-significant associations, as their confidence intervals crossed the null reference threshold of OR=1. The visualization highlights a clinically meaningful gradient in prognostic risk, indicating that structural tendon damage and muscle degeneration exert greater influence on clinical outcome than demographic or metabolic variables alone.</w:t>
      </w:r>
    </w:p>
    <w:p w:rsidR="009C0B6D" w:rsidRPr="009C0B6D" w:rsidRDefault="009C0B6D" w:rsidP="009C0B6D">
      <w:pPr>
        <w:pStyle w:val="Heading1"/>
      </w:pPr>
      <w:r w:rsidRPr="009C0B6D">
        <w:t>Discussion</w:t>
      </w:r>
    </w:p>
    <w:p w:rsidR="009C0B6D" w:rsidRPr="009C0B6D" w:rsidRDefault="009C0B6D" w:rsidP="009C0B6D">
      <w:pPr>
        <w:pStyle w:val="Body"/>
      </w:pPr>
      <w:r w:rsidRPr="009C0B6D">
        <w:t>The present study evaluated the diagnostic accuracy of ultrasonography in the assessment of rotator cuff disorders among patients presenting with shoulder pain at a tertiary care teaching hospital and additionally explored clinical and imaging-related predictors associated with poor outcomes. The findings demonstrated that ultrasonography possesses high diagnostic sensitivity (92.9%) and overall diagnostic accuracy (86.3%) for detecting rotator cuff abnormalities when compared with reference imaging. These findings support the growing body of evidence suggesting that musculoskeletal ultrasound is a reliable and clinically valuable imaging modality for the evaluation of rotator cuff pathology, particularly in settings where MRI availability may be limited or cost-prohibitive (17,18). The high concordance observed between ultrasound and reference imaging in the present study further reinforces the practical utility of ultrasound as an effective first-line diagnostic tool in symptomatic patients presenting to orthopedic and rehabilitation clinics.</w:t>
      </w:r>
    </w:p>
    <w:p w:rsidR="009C0B6D" w:rsidRPr="009C0B6D" w:rsidRDefault="009C0B6D" w:rsidP="009C0B6D">
      <w:pPr>
        <w:pStyle w:val="Body"/>
      </w:pPr>
      <w:r w:rsidRPr="009C0B6D">
        <w:t>The demographic characteristics observed in this cohort are consistent with previous epidemiological studies reporting an increased prevalence of rotator cuff disease among middle-aged and older individuals. The mean age of 51.2 years and predominance of patients aged ≥50 years align with established evidence indicating progressive tendon degeneration and reduced tendon vascularity with aging (19). Similarly, the predominance of supraspinatus tendon involvement observed in more than two-thirds of patients corresponds with prior literature identifying the supraspinatus tendon as the most vulnerable component of the rotator cuff because of mechanical impingement and chronic tensile overload (20). The high frequency of chronic symptoms and restricted shoulder movement in this study further reflects the substantial functional burden associated with rotator cuff pathology in routine clinical practice.</w:t>
      </w:r>
    </w:p>
    <w:p w:rsidR="009C0B6D" w:rsidRPr="009C0B6D" w:rsidRDefault="009C0B6D" w:rsidP="009C0B6D">
      <w:pPr>
        <w:pStyle w:val="Body"/>
      </w:pPr>
      <w:r w:rsidRPr="009C0B6D">
        <w:t>The diagnostic performance metrics identified in the present study are comparable to those reported in recent systematic reviews and meta-analyses evaluating ultrasonography for rotator cuff tears. Liang et al. reported pooled ultrasound sensitivity values exceeding 90% for full-thickness tears, particularly when examinations were performed by experienced musculoskeletal radiologists (8). Similarly, Farooqi et al. demonstrated excellent diagnostic agreement between ultrasound and MRI for clinically significant rotator cuff lesions (6). The present study demonstrated a sensitivity of 92.9%, which is highly consistent with these findings and supports the role of ultrasound in reliably identifying tendon abnormalities. Although the specificity observed in the present analysis was comparatively lower (64.7%), this finding may be attributable to operator-dependent interpretation, mild degenerative changes mimicking pathological tears, or partial-thickness abnormalities that are difficult to distinguish from tendinopathy using ultrasound alone. Nonetheless, the high positive predictive value observed in this study indicates strong clinical reliability when ultrasound findings are positive.</w:t>
      </w:r>
    </w:p>
    <w:p w:rsidR="009C0B6D" w:rsidRPr="009C0B6D" w:rsidRDefault="009C0B6D" w:rsidP="009C0B6D">
      <w:pPr>
        <w:pStyle w:val="Body"/>
      </w:pPr>
      <w:r w:rsidRPr="009C0B6D">
        <w:t>An important contribution of the present study is the evaluation of prognostic factors associated with poor clinical outcome. Full-thickness tears emerged as the strongest predictor of adverse outcome, increasing the likelihood of poor recovery by more than threefold. This finding is biologically plausible and aligns with prior investigations demonstrating that larger tendon disruptions are associated with persistent pain, muscular atrophy, and reduced postoperative or conservative treatment success (21). Similarly, fatty infiltration was independently associated with poorer outcomes, supporting earlier studies that identified fatty degeneration as an important marker of chronic tendon dysfunction and impaired reparability (22). The observed relationship between sarcopenia and adverse clinical outcome is particularly noteworthy because it emphasizes the importance of generalized muscular health in rotator cuff disease progression. Han et al. previously reported significant associations between reduced muscle mass and increased susceptibility to tendon disease among older adults, findings that closely parallel the current results (11).</w:t>
      </w:r>
    </w:p>
    <w:p w:rsidR="009C0B6D" w:rsidRPr="009C0B6D" w:rsidRDefault="009C0B6D" w:rsidP="009C0B6D">
      <w:pPr>
        <w:pStyle w:val="Body"/>
      </w:pPr>
      <w:r w:rsidRPr="009C0B6D">
        <w:t xml:space="preserve">The study also demonstrated that prolonged symptom duration and elevated baseline pain scores were significantly associated with poorer clinical outcomes. Chronic symptoms may reflect delayed presentation, progressive tendon degeneration, or ongoing biomechanical dysfunction, all of which may negatively influence </w:t>
      </w:r>
      <w:r w:rsidRPr="009C0B6D">
        <w:lastRenderedPageBreak/>
        <w:t>recovery potential. Higher baseline pain intensity likely reflects greater inflammatory activity or structural damage at presentation and may therefore serve as a clinically useful marker of disease severity. In contrast, neither older age nor diabetes mellitus demonstrated statistically significant independent associations with poor outcome in the adjusted analysis. Although diabetes has been linked to tendon degeneration and impaired healing in previous studies, the lack of significance in the current analysis may reflect limited statistical power or confounding by more dominant structural variables such as tear severity and fatty infiltration (23).</w:t>
      </w:r>
    </w:p>
    <w:p w:rsidR="009C0B6D" w:rsidRPr="009C0B6D" w:rsidRDefault="009C0B6D" w:rsidP="009C0B6D">
      <w:pPr>
        <w:pStyle w:val="Body"/>
      </w:pPr>
      <w:r w:rsidRPr="009C0B6D">
        <w:t>The present findings have important implications for clinical practice, particularly in resource-constrained healthcare systems. Musculoskeletal ultrasonography offers several practical advantages including lower cost, greater accessibility, dynamic assessment capability, and rapid bedside evaluation. In tertiary care settings with high patient burden, ultrasound may facilitate early diagnosis and timely initiation of conservative or surgical management strategies. Furthermore, identification of prognostic variables such as full-thickness tears, sarcopenia, and fatty infiltration may help clinicians stratify patients according to risk of poor outcome and optimize individualized treatment planning. These findings support the integration of ultrasound-based assessment into routine orthopedic and rehabilitation workflows for patients presenting with chronic shoulder pain.</w:t>
      </w:r>
    </w:p>
    <w:p w:rsidR="009C0B6D" w:rsidRPr="009C0B6D" w:rsidRDefault="009C0B6D" w:rsidP="009C0B6D">
      <w:pPr>
        <w:pStyle w:val="Body"/>
      </w:pPr>
      <w:r w:rsidRPr="009C0B6D">
        <w:t>Despite these strengths, the present study has several limitations that should be acknowledged. The single-center design may limit generalizability to broader populations, and the relatively moderate sample size may have reduced statistical power for certain subgroup analyses. Ultrasound interpretation is inherently operator-dependent, and interobserver variability was not formally assessed in the current study. Additionally, although reference imaging was used as the comparative standard, MRI protocols and reporting characteristics may vary across institutions. The cross-sectional design also limits causal inference regarding long-term clinical outcomes. Future multicenter prospective studies incorporating standardized imaging protocols, functional scoring systems, and longitudinal follow-up are warranted to further validate these findings and clarify the prognostic utility of ultrasonographic markers in rotator cuff disease.</w:t>
      </w:r>
    </w:p>
    <w:p w:rsidR="009C0B6D" w:rsidRPr="009C0B6D" w:rsidRDefault="009C0B6D" w:rsidP="009C0B6D">
      <w:pPr>
        <w:pStyle w:val="Body"/>
      </w:pPr>
      <w:r w:rsidRPr="009C0B6D">
        <w:t xml:space="preserve">Overall, the findings of the present study demonstrate that ultrasonography is a highly sensitive and clinically valuable imaging modality for the evaluation of rotator cuff disorders in patients with shoulder pain. The study further highlights the prognostic significance of structural tendon damage, fatty infiltration, prolonged symptom duration, and sarcopenia in predicting poor clinical outcomes, thereby contributing clinically relevant evidence to support ultrasound-guided assessment strategies in orthopedic practice. </w:t>
      </w:r>
    </w:p>
    <w:p w:rsidR="009C0B6D" w:rsidRPr="009C0B6D" w:rsidRDefault="009C0B6D" w:rsidP="009C0B6D">
      <w:pPr>
        <w:pStyle w:val="Heading1"/>
      </w:pPr>
      <w:r w:rsidRPr="009C0B6D">
        <w:t>Conclusion</w:t>
      </w:r>
    </w:p>
    <w:p w:rsidR="009C0B6D" w:rsidRPr="009C0B6D" w:rsidRDefault="009C0B6D" w:rsidP="009C0B6D">
      <w:pPr>
        <w:pStyle w:val="Body"/>
      </w:pPr>
      <w:r w:rsidRPr="009C0B6D">
        <w:t xml:space="preserve">Ultrasonography demonstrated high diagnostic sensitivity and substantial overall diagnostic accuracy for the evaluation of rotator cuff disorders among patients presenting with shoulder pain at Mayo Hospital Lahore. The study findings support the role of musculoskeletal ultrasound as a reliable, accessible, and clinically valuable first-line imaging modality in tertiary care orthopedic practice. Full-thickness rotator cuff tears, fatty infiltration, sarcopenia or reduced muscle mass, prolonged symptom duration, and elevated baseline pain scores were significantly associated with poorer clinical outcomes, highlighting the prognostic importance of structural tendon damage and muscular degeneration. The integration of ultrasonographic assessment with clinical evaluation may facilitate early diagnosis, risk stratification, and individualized management planning in patients with rotator cuff pathology. Further large-scale multicenter prospective studies are recommended to validate these findings and optimize ultrasound-based diagnostic and prognostic approaches in shoulder disorders. </w:t>
      </w:r>
    </w:p>
    <w:p w:rsidR="009C0B6D" w:rsidRPr="009C0B6D" w:rsidRDefault="009C0B6D" w:rsidP="009C0B6D">
      <w:pPr>
        <w:pStyle w:val="Heading1"/>
      </w:pPr>
      <w:r w:rsidRPr="009C0B6D">
        <w:t xml:space="preserve">References </w:t>
      </w:r>
    </w:p>
    <w:p w:rsidR="009C0B6D" w:rsidRPr="009C0B6D" w:rsidRDefault="009C0B6D" w:rsidP="009C0B6D">
      <w:pPr>
        <w:pStyle w:val="Body"/>
        <w:numPr>
          <w:ilvl w:val="0"/>
          <w:numId w:val="18"/>
        </w:numPr>
      </w:pPr>
      <w:r w:rsidRPr="009C0B6D">
        <w:t xml:space="preserve">Aminzadeh B, Najafi S, Moradi A, Abbasi B, Farrokh D, Emadzadeh M. Evaluation of diagnostic precision of ultrasound for rotator cuff disorders in patients with shoulder pain. Arch Bone Jt Surg. 2020. doi:10.22038/abjs.2020.42894.2166. </w:t>
      </w:r>
    </w:p>
    <w:p w:rsidR="009C0B6D" w:rsidRPr="009C0B6D" w:rsidRDefault="009C0B6D" w:rsidP="009C0B6D">
      <w:pPr>
        <w:pStyle w:val="Body"/>
        <w:numPr>
          <w:ilvl w:val="0"/>
          <w:numId w:val="18"/>
        </w:numPr>
      </w:pPr>
      <w:r w:rsidRPr="009C0B6D">
        <w:t xml:space="preserve">Barad HV, Patel V, Patel SD, Patel M. To determine the role of ultrasonography as a primary imaging modality as compared to MRI in patients with shoulder pain. J Family Med Prim Care. 2022. </w:t>
      </w:r>
      <w:bookmarkStart w:id="0" w:name="_GoBack"/>
      <w:bookmarkEnd w:id="0"/>
      <w:r w:rsidRPr="009C0B6D">
        <w:t xml:space="preserve">doi:10.4103/jfmpc.jfmpc_2509_20. </w:t>
      </w:r>
    </w:p>
    <w:p w:rsidR="009C0B6D" w:rsidRPr="009C0B6D" w:rsidRDefault="009C0B6D" w:rsidP="009C0B6D">
      <w:pPr>
        <w:pStyle w:val="Body"/>
        <w:numPr>
          <w:ilvl w:val="0"/>
          <w:numId w:val="18"/>
        </w:numPr>
      </w:pPr>
      <w:r w:rsidRPr="009C0B6D">
        <w:t xml:space="preserve">Chiu YH, Chang KV, Chen IJ, Wu WT, Özçakar L. Utility of sonoelastography for the evaluation of rotator cuff tendon and pertinent disorders: A systematic review and meta-analysis. Eur Radiol. 2020. doi:10.1007/s00330-020-07059-2. </w:t>
      </w:r>
    </w:p>
    <w:p w:rsidR="009C0B6D" w:rsidRPr="009C0B6D" w:rsidRDefault="009C0B6D" w:rsidP="009C0B6D">
      <w:pPr>
        <w:pStyle w:val="Body"/>
        <w:numPr>
          <w:ilvl w:val="0"/>
          <w:numId w:val="18"/>
        </w:numPr>
      </w:pPr>
      <w:r w:rsidRPr="009C0B6D">
        <w:lastRenderedPageBreak/>
        <w:t xml:space="preserve">Cox JL, Laughlin M, Elkousy H, Baker H, Badman B, Ziegler D, et al. Determination of rotator cuff tear reparability: An ultrasound-based investigation. JSES Int. 2021. doi:10.1016/j.jseint.2021.10.008. </w:t>
      </w:r>
    </w:p>
    <w:p w:rsidR="009C0B6D" w:rsidRPr="009C0B6D" w:rsidRDefault="009C0B6D" w:rsidP="009C0B6D">
      <w:pPr>
        <w:pStyle w:val="Body"/>
        <w:numPr>
          <w:ilvl w:val="0"/>
          <w:numId w:val="18"/>
        </w:numPr>
      </w:pPr>
      <w:r w:rsidRPr="009C0B6D">
        <w:t xml:space="preserve">Czaplicki CD, Cumsky J, Sugi M, Flug J, Long JR, Dahiya N. Sonography of the post-operative rotator cuff: Normal postoperative findings, postsurgical complications and common artifacts. Curr Probl Diagn Radiol. 2021. doi:10.1067/j.cpradiol.2021.02.004. </w:t>
      </w:r>
    </w:p>
    <w:p w:rsidR="009C0B6D" w:rsidRPr="009C0B6D" w:rsidRDefault="009C0B6D" w:rsidP="009C0B6D">
      <w:pPr>
        <w:pStyle w:val="Body"/>
        <w:numPr>
          <w:ilvl w:val="0"/>
          <w:numId w:val="18"/>
        </w:numPr>
      </w:pPr>
      <w:r w:rsidRPr="009C0B6D">
        <w:t xml:space="preserve">Farooqi AS, Lee A, Novikov D, Kelly A, Li X, Kelly J, et al. Diagnostic accuracy of ultrasonography for rotator cuff tears: A systematic review and meta-analysis. Orthop J Sports Med. 2021. doi:10.1177/23259671211035106. </w:t>
      </w:r>
    </w:p>
    <w:p w:rsidR="009C0B6D" w:rsidRPr="009C0B6D" w:rsidRDefault="009C0B6D" w:rsidP="009C0B6D">
      <w:pPr>
        <w:pStyle w:val="Body"/>
        <w:numPr>
          <w:ilvl w:val="0"/>
          <w:numId w:val="18"/>
        </w:numPr>
      </w:pPr>
      <w:r w:rsidRPr="009C0B6D">
        <w:t xml:space="preserve">Gimarc DC, Lee KS. Shoulder MR imaging versus ultrasound. Magn Reson Imaging Clin N Am. 2020;28(2):317-30. doi:10.1016/j.mric.2019.12.012. </w:t>
      </w:r>
    </w:p>
    <w:p w:rsidR="009C0B6D" w:rsidRPr="009C0B6D" w:rsidRDefault="009C0B6D" w:rsidP="009C0B6D">
      <w:pPr>
        <w:pStyle w:val="Body"/>
        <w:numPr>
          <w:ilvl w:val="0"/>
          <w:numId w:val="18"/>
        </w:numPr>
      </w:pPr>
      <w:r w:rsidRPr="009C0B6D">
        <w:t xml:space="preserve">Han DS, Wu WT, Hsu PC, Chang HC, Huang KC, Chang KV. Sarcopenia is associated with increased risks of rotator cuff tendon diseases among community-dwelling elders: A cross-sectional quantitative ultrasound study. Front Med. 2021. doi:10.3389/fmed.2021.630009. </w:t>
      </w:r>
    </w:p>
    <w:p w:rsidR="009C0B6D" w:rsidRPr="009C0B6D" w:rsidRDefault="009C0B6D" w:rsidP="009C0B6D">
      <w:pPr>
        <w:pStyle w:val="Body"/>
        <w:numPr>
          <w:ilvl w:val="0"/>
          <w:numId w:val="18"/>
        </w:numPr>
      </w:pPr>
      <w:r w:rsidRPr="009C0B6D">
        <w:t xml:space="preserve">Hinsley H, Ganderton C, Arden N, Carr A. Prevalence of rotator cuff tendon tears and symptoms in a Chingford general population cohort, and the resultant impact on UK health services: A cross-sectional observational study. BMJ Open. 2022. doi:10.1136/bmjopen-2021-059175. </w:t>
      </w:r>
    </w:p>
    <w:p w:rsidR="009C0B6D" w:rsidRPr="009C0B6D" w:rsidRDefault="009C0B6D" w:rsidP="009C0B6D">
      <w:pPr>
        <w:pStyle w:val="Body"/>
        <w:numPr>
          <w:ilvl w:val="0"/>
          <w:numId w:val="18"/>
        </w:numPr>
      </w:pPr>
      <w:r w:rsidRPr="009C0B6D">
        <w:t xml:space="preserve">Huang J, Jiang L, Wang J, Wu D, Huang W, Hu N, et al. Ultrasound shear wave elastography-derived tissue stiffness is positively correlated with rotator cuff tear size and muscular degeneration. Knee Surg Sports Traumatol Arthrosc. 2022;30(7):2492-9. doi:10.1007/s00167-022-06892-w. </w:t>
      </w:r>
    </w:p>
    <w:p w:rsidR="009C0B6D" w:rsidRPr="009C0B6D" w:rsidRDefault="009C0B6D" w:rsidP="009C0B6D">
      <w:pPr>
        <w:pStyle w:val="Body"/>
        <w:numPr>
          <w:ilvl w:val="0"/>
          <w:numId w:val="18"/>
        </w:numPr>
      </w:pPr>
      <w:r w:rsidRPr="009C0B6D">
        <w:t xml:space="preserve">Liang W, Wu H, Dong F, Tian H, Xu J. Diagnostic performance of ultrasound for rotator cuff tears: A systematic review and meta-analysis. Med Ultrason. 2020;22(2):197. doi:10.11152/mu-2352. </w:t>
      </w:r>
    </w:p>
    <w:p w:rsidR="009C0B6D" w:rsidRPr="009C0B6D" w:rsidRDefault="009C0B6D" w:rsidP="009C0B6D">
      <w:pPr>
        <w:pStyle w:val="Body"/>
        <w:numPr>
          <w:ilvl w:val="0"/>
          <w:numId w:val="18"/>
        </w:numPr>
      </w:pPr>
      <w:r w:rsidRPr="009C0B6D">
        <w:t xml:space="preserve">Malik P, Sen K, Mukherjee NK, Veerabathini MKVMK, Adarsh A. Accuracy of ultrasound compared to MRI in evaluation of rotator cuff tears. Int J Contemp Med Surg Radiol. 2020. doi:10.21276/ijcmsr.2020.5.1.5. </w:t>
      </w:r>
    </w:p>
    <w:p w:rsidR="009C0B6D" w:rsidRPr="009C0B6D" w:rsidRDefault="009C0B6D" w:rsidP="009C0B6D">
      <w:pPr>
        <w:pStyle w:val="Body"/>
        <w:numPr>
          <w:ilvl w:val="0"/>
          <w:numId w:val="18"/>
        </w:numPr>
      </w:pPr>
      <w:r w:rsidRPr="009C0B6D">
        <w:t xml:space="preserve">Mehta G, Sharma M, Garg V, Arora N, Punit, Singh J. A comparative study of ultrasonography and magnetic resonance imaging for the evaluation of rotator cuff injuries. Int J Orthop Sci. 2022. doi:10.22271/ortho.2022.v8.i1g.3062. </w:t>
      </w:r>
    </w:p>
    <w:p w:rsidR="009C0B6D" w:rsidRPr="009C0B6D" w:rsidRDefault="009C0B6D" w:rsidP="009C0B6D">
      <w:pPr>
        <w:pStyle w:val="Body"/>
        <w:numPr>
          <w:ilvl w:val="0"/>
          <w:numId w:val="18"/>
        </w:numPr>
      </w:pPr>
      <w:r w:rsidRPr="009C0B6D">
        <w:t xml:space="preserve">Naunton J, Harrison C, Britt H, Haines T, Malliaras P. General practice management of rotator cuff related shoulder pain: A reliance on ultrasound and injection guided care. PLoS One. 2020. doi:10.1371/journal.pone.0227688. </w:t>
      </w:r>
    </w:p>
    <w:p w:rsidR="009C0B6D" w:rsidRPr="009C0B6D" w:rsidRDefault="009C0B6D" w:rsidP="009C0B6D">
      <w:pPr>
        <w:pStyle w:val="Body"/>
        <w:numPr>
          <w:ilvl w:val="0"/>
          <w:numId w:val="18"/>
        </w:numPr>
      </w:pPr>
      <w:r w:rsidRPr="009C0B6D">
        <w:t xml:space="preserve">Park BK, Hong S, Jeong WK. Effectiveness of ultrasound in evaluation of fatty infiltration in rotator cuff muscles. Clin Orthop Surg. 2020. doi:10.4055/cios.2020.12.1.76. </w:t>
      </w:r>
    </w:p>
    <w:p w:rsidR="009C0B6D" w:rsidRPr="009C0B6D" w:rsidRDefault="009C0B6D" w:rsidP="009C0B6D">
      <w:pPr>
        <w:pStyle w:val="Body"/>
        <w:numPr>
          <w:ilvl w:val="0"/>
          <w:numId w:val="18"/>
        </w:numPr>
      </w:pPr>
      <w:r w:rsidRPr="009C0B6D">
        <w:t xml:space="preserve">Precerutti M, Formica M, Bonardi M, Peroni C, Calciati F. Acromioclavicular osteoarthritis and shoulder pain: A review of the role of ultrasonography. J Ultrasound. 2020. doi:10.1007/s40477-020-00498-z. </w:t>
      </w:r>
    </w:p>
    <w:p w:rsidR="009C0B6D" w:rsidRPr="009C0B6D" w:rsidRDefault="009C0B6D" w:rsidP="009C0B6D">
      <w:pPr>
        <w:pStyle w:val="Body"/>
        <w:numPr>
          <w:ilvl w:val="0"/>
          <w:numId w:val="18"/>
        </w:numPr>
      </w:pPr>
      <w:r w:rsidRPr="009C0B6D">
        <w:t xml:space="preserve">Tat J, Tat J, Theodoropoulos J. Clinical applications of ultrasonography in the shoulder for the orthopedic surgeon: A systematic review. Orthop Traumatol Surg Res. 2020. doi:10.1016/j.otsr.2020.06.005. </w:t>
      </w:r>
    </w:p>
    <w:p w:rsidR="009C0B6D" w:rsidRPr="009C0B6D" w:rsidRDefault="009C0B6D" w:rsidP="009C0B6D">
      <w:pPr>
        <w:pStyle w:val="Body"/>
        <w:numPr>
          <w:ilvl w:val="0"/>
          <w:numId w:val="18"/>
        </w:numPr>
      </w:pPr>
      <w:r w:rsidRPr="009C0B6D">
        <w:t xml:space="preserve">VanBaak K, Aerni GA. Shoulder conditions: Rotator cuff injuries and bursitis. FP Essent. 2020. </w:t>
      </w:r>
    </w:p>
    <w:p w:rsidR="009C0B6D" w:rsidRPr="009C0B6D" w:rsidRDefault="009C0B6D" w:rsidP="009C0B6D">
      <w:pPr>
        <w:pStyle w:val="Body"/>
        <w:numPr>
          <w:ilvl w:val="0"/>
          <w:numId w:val="18"/>
        </w:numPr>
      </w:pPr>
      <w:r w:rsidRPr="009C0B6D">
        <w:t xml:space="preserve">Wu WT, Chen LR, Chang HC, Chang KV, Özçakar L. Quantitative ultrasonographic analysis of changes of the suprascapular nerve in the aging population with shoulder pain. Front Bioeng Biotechnol. 2021. doi:10.3389/fbioe.2021.640747. </w:t>
      </w:r>
    </w:p>
    <w:p w:rsidR="009C0B6D" w:rsidRPr="009C0B6D" w:rsidRDefault="009C0B6D" w:rsidP="009C0B6D">
      <w:pPr>
        <w:pStyle w:val="Body"/>
        <w:numPr>
          <w:ilvl w:val="0"/>
          <w:numId w:val="18"/>
        </w:numPr>
      </w:pPr>
      <w:r w:rsidRPr="009C0B6D">
        <w:t xml:space="preserve">Zoga A, Kamel S, Hynes J, Kavanagh E, O'Connor P, Forster B. The evolving roles of MRI and ultrasound in first-line imaging of rotator cuff injuries. AJR Am J Roentgenol. 2021. doi:10.2214/AJR.21.25606. </w:t>
      </w:r>
    </w:p>
    <w:p w:rsidR="009C0B6D" w:rsidRPr="009C0B6D" w:rsidRDefault="009C0B6D" w:rsidP="009C0B6D">
      <w:pPr>
        <w:pStyle w:val="Body"/>
        <w:rPr>
          <w:rFonts w:cstheme="majorBidi"/>
          <w:color w:val="000000" w:themeColor="text1"/>
        </w:rPr>
      </w:pPr>
    </w:p>
    <w:p w:rsidR="00441E67" w:rsidRPr="004175AC" w:rsidRDefault="00441E67" w:rsidP="009C0B6D">
      <w:pPr>
        <w:pStyle w:val="Body"/>
      </w:pPr>
    </w:p>
    <w:sectPr w:rsidR="00441E67" w:rsidRPr="004175AC" w:rsidSect="00D04D32">
      <w:headerReference w:type="default" r:id="rId10"/>
      <w:headerReference w:type="first" r:id="rId11"/>
      <w:footerReference w:type="first" r:id="rId12"/>
      <w:type w:val="continuous"/>
      <w:pgSz w:w="11907" w:h="16840" w:code="9"/>
      <w:pgMar w:top="1008" w:right="1440" w:bottom="1008" w:left="1440" w:header="576" w:footer="576" w:gutter="0"/>
      <w:cols w:space="28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C56" w:rsidRDefault="00AF3C56" w:rsidP="005146DA">
      <w:pPr>
        <w:spacing w:after="0" w:line="240" w:lineRule="auto"/>
      </w:pPr>
      <w:r>
        <w:separator/>
      </w:r>
    </w:p>
  </w:endnote>
  <w:endnote w:type="continuationSeparator" w:id="0">
    <w:p w:rsidR="00AF3C56" w:rsidRDefault="00AF3C56" w:rsidP="00514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lantagenet Cherokee">
    <w:charset w:val="00"/>
    <w:family w:val="roman"/>
    <w:pitch w:val="variable"/>
    <w:sig w:usb0="00000003" w:usb1="00000000" w:usb2="00001000" w:usb3="00000000" w:csb0="00000001" w:csb1="00000000"/>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 w:name="Minion Pro SmBd">
    <w:altName w:val="Cambria"/>
    <w:panose1 w:val="00000000000000000000"/>
    <w:charset w:val="00"/>
    <w:family w:val="roman"/>
    <w:notTrueType/>
    <w:pitch w:val="variable"/>
    <w:sig w:usb0="E00002AF" w:usb1="5000E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arlow">
    <w:altName w:val="Times New Roman"/>
    <w:charset w:val="00"/>
    <w:family w:val="auto"/>
    <w:pitch w:val="variable"/>
    <w:sig w:usb0="00000001" w:usb1="00000000" w:usb2="00000000" w:usb3="00000000" w:csb0="00000193"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E00002AF" w:usb1="5000E07B" w:usb2="00000000" w:usb3="00000000" w:csb0="0000019F" w:csb1="00000000"/>
  </w:font>
  <w:font w:name="Kermit Thin Expanded">
    <w:charset w:val="00"/>
    <w:family w:val="swiss"/>
    <w:pitch w:val="variable"/>
    <w:sig w:usb0="800002AF" w:usb1="5000204A" w:usb2="00000000" w:usb3="00000000" w:csb0="0000019F" w:csb1="00000000"/>
  </w:font>
  <w:font w:name="Khmer UI">
    <w:charset w:val="00"/>
    <w:family w:val="swiss"/>
    <w:pitch w:val="variable"/>
    <w:sig w:usb0="80000003" w:usb1="00000000" w:usb2="0001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27F" w:rsidRPr="00BC0607" w:rsidRDefault="00C6627F" w:rsidP="00C6627F">
    <w:pPr>
      <w:pBdr>
        <w:bottom w:val="single" w:sz="6" w:space="1" w:color="auto"/>
      </w:pBdr>
      <w:rPr>
        <w:rFonts w:ascii="Plantagenet Cherokee" w:hAnsi="Plantagenet Cherokee" w:cstheme="majorBidi"/>
        <w:sz w:val="8"/>
        <w:szCs w:val="8"/>
        <w:lang w:val="en-US"/>
      </w:rPr>
    </w:pPr>
  </w:p>
  <w:p w:rsidR="008F6C61" w:rsidRPr="008F6C61" w:rsidRDefault="008F6C61" w:rsidP="008F6C61">
    <w:pPr>
      <w:pStyle w:val="NoSpacing"/>
      <w:jc w:val="right"/>
      <w:rPr>
        <w:rFonts w:ascii="Plantagenet Cherokee" w:hAnsi="Plantagenet Cherokee"/>
        <w:color w:val="074F6A"/>
        <w:sz w:val="12"/>
        <w:szCs w:val="12"/>
        <w:lang w:val="en-US"/>
      </w:rPr>
    </w:pPr>
    <w:r w:rsidRPr="008F6C61">
      <w:rPr>
        <w:noProof/>
        <w:color w:val="074F6A"/>
        <w:lang w:val="en-US"/>
      </w:rPr>
      <w:drawing>
        <wp:anchor distT="0" distB="0" distL="114300" distR="114300" simplePos="0" relativeHeight="251658240" behindDoc="0" locked="0" layoutInCell="1" allowOverlap="1" wp14:anchorId="08A52D60" wp14:editId="09A01D2D">
          <wp:simplePos x="0" y="0"/>
          <wp:positionH relativeFrom="margin">
            <wp:align>left</wp:align>
          </wp:positionH>
          <wp:positionV relativeFrom="paragraph">
            <wp:posOffset>3175</wp:posOffset>
          </wp:positionV>
          <wp:extent cx="640143" cy="184049"/>
          <wp:effectExtent l="0" t="0" r="7620" b="6985"/>
          <wp:wrapNone/>
          <wp:docPr id="1289534719" name="Picture 1" descr="Link Medical Institut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534719" name="Picture 1" descr="Link Medical Institute logo">
                    <a:hlinkClick r:id="rId1"/>
                  </pic:cNvPr>
                  <pic:cNvPicPr>
                    <a:picLocks noChangeAspect="1" noChangeArrowheads="1"/>
                  </pic:cNvPicPr>
                </pic:nvPicPr>
                <pic:blipFill>
                  <a:blip r:embed="rId2" cstate="print">
                    <a:biLevel thresh="75000"/>
                    <a:extLst>
                      <a:ext uri="{28A0092B-C50C-407E-A947-70E740481C1C}">
                        <a14:useLocalDpi xmlns:a14="http://schemas.microsoft.com/office/drawing/2010/main" val="0"/>
                      </a:ext>
                    </a:extLst>
                  </a:blip>
                  <a:srcRect/>
                  <a:stretch>
                    <a:fillRect/>
                  </a:stretch>
                </pic:blipFill>
                <pic:spPr bwMode="auto">
                  <a:xfrm>
                    <a:off x="0" y="0"/>
                    <a:ext cx="675685" cy="194268"/>
                  </a:xfrm>
                  <a:prstGeom prst="rect">
                    <a:avLst/>
                  </a:prstGeom>
                </pic:spPr>
              </pic:pic>
            </a:graphicData>
          </a:graphic>
          <wp14:sizeRelH relativeFrom="page">
            <wp14:pctWidth>0</wp14:pctWidth>
          </wp14:sizeRelH>
          <wp14:sizeRelV relativeFrom="page">
            <wp14:pctHeight>0</wp14:pctHeight>
          </wp14:sizeRelV>
        </wp:anchor>
      </w:drawing>
    </w:r>
    <w:r w:rsidRPr="008F6C61">
      <w:rPr>
        <w:rFonts w:ascii="Plantagenet Cherokee" w:hAnsi="Plantagenet Cherokee"/>
        <w:color w:val="074F6A"/>
        <w:sz w:val="12"/>
        <w:szCs w:val="12"/>
        <w:lang w:val="en-US"/>
      </w:rPr>
      <w:t>Journal of Health and Rehabilitation Research (JHRR)</w:t>
    </w:r>
    <w:r w:rsidR="0074006B">
      <w:rPr>
        <w:rFonts w:ascii="Plantagenet Cherokee" w:hAnsi="Plantagenet Cherokee"/>
        <w:color w:val="074F6A"/>
        <w:sz w:val="12"/>
        <w:szCs w:val="12"/>
        <w:lang w:val="en-US"/>
      </w:rPr>
      <w:t xml:space="preserve"> | </w:t>
    </w:r>
    <w:r w:rsidR="0074006B" w:rsidRPr="0074006B">
      <w:rPr>
        <w:rFonts w:ascii="Plantagenet Cherokee" w:hAnsi="Plantagenet Cherokee"/>
        <w:color w:val="074F6A"/>
        <w:sz w:val="12"/>
        <w:szCs w:val="12"/>
        <w:lang w:val="en-US"/>
      </w:rPr>
      <w:t xml:space="preserve">Volume </w:t>
    </w:r>
    <w:r w:rsidR="001D7633">
      <w:rPr>
        <w:rFonts w:ascii="Plantagenet Cherokee" w:hAnsi="Plantagenet Cherokee"/>
        <w:color w:val="074F6A"/>
        <w:sz w:val="12"/>
        <w:szCs w:val="12"/>
        <w:lang w:val="en-US"/>
      </w:rPr>
      <w:t>6</w:t>
    </w:r>
    <w:r w:rsidR="0074006B" w:rsidRPr="0074006B">
      <w:rPr>
        <w:rFonts w:ascii="Plantagenet Cherokee" w:hAnsi="Plantagenet Cherokee"/>
        <w:color w:val="074F6A"/>
        <w:sz w:val="12"/>
        <w:szCs w:val="12"/>
        <w:lang w:val="en-US"/>
      </w:rPr>
      <w:t xml:space="preserve">, Issue </w:t>
    </w:r>
    <w:r w:rsidR="00BB3BA0">
      <w:rPr>
        <w:rFonts w:ascii="Plantagenet Cherokee" w:hAnsi="Plantagenet Cherokee"/>
        <w:color w:val="074F6A"/>
        <w:sz w:val="12"/>
        <w:szCs w:val="12"/>
        <w:lang w:val="en-US"/>
      </w:rPr>
      <w:t>3</w:t>
    </w:r>
    <w:r w:rsidR="0074006B" w:rsidRPr="0074006B">
      <w:rPr>
        <w:rFonts w:ascii="Plantagenet Cherokee" w:hAnsi="Plantagenet Cherokee"/>
        <w:color w:val="074F6A"/>
        <w:sz w:val="12"/>
        <w:szCs w:val="12"/>
        <w:lang w:val="en-US"/>
      </w:rPr>
      <w:t xml:space="preserve">, </w:t>
    </w:r>
    <w:r w:rsidR="001D7633">
      <w:rPr>
        <w:rFonts w:ascii="Plantagenet Cherokee" w:hAnsi="Plantagenet Cherokee"/>
        <w:color w:val="074F6A"/>
        <w:sz w:val="12"/>
        <w:szCs w:val="12"/>
        <w:lang w:val="en-US"/>
      </w:rPr>
      <w:t>March 2026</w:t>
    </w:r>
  </w:p>
  <w:p w:rsidR="002816A1" w:rsidRPr="008F6C61" w:rsidRDefault="0031489C" w:rsidP="008F6C61">
    <w:pPr>
      <w:pStyle w:val="NoSpacing"/>
      <w:jc w:val="right"/>
      <w:rPr>
        <w:rFonts w:ascii="Plantagenet Cherokee" w:hAnsi="Plantagenet Cherokee"/>
        <w:color w:val="074F6A"/>
        <w:sz w:val="12"/>
        <w:szCs w:val="12"/>
        <w:lang w:val="en-US"/>
      </w:rPr>
    </w:pPr>
    <w:r w:rsidRPr="008F6C61">
      <w:rPr>
        <w:rFonts w:ascii="Plantagenet Cherokee" w:hAnsi="Plantagenet Cherokee"/>
        <w:color w:val="074F6A"/>
        <w:sz w:val="12"/>
        <w:szCs w:val="12"/>
        <w:lang w:val="en-US"/>
      </w:rPr>
      <w:t>ISSN 2791-156X | ©</w:t>
    </w:r>
    <w:r w:rsidR="0074006B">
      <w:rPr>
        <w:rFonts w:ascii="Plantagenet Cherokee" w:hAnsi="Plantagenet Cherokee"/>
        <w:color w:val="074F6A"/>
        <w:sz w:val="12"/>
        <w:szCs w:val="12"/>
        <w:lang w:val="en-US"/>
      </w:rPr>
      <w:t xml:space="preserve"> </w:t>
    </w:r>
    <w:r w:rsidRPr="008F6C61">
      <w:rPr>
        <w:rFonts w:ascii="Plantagenet Cherokee" w:hAnsi="Plantagenet Cherokee"/>
        <w:color w:val="074F6A"/>
        <w:sz w:val="12"/>
        <w:szCs w:val="12"/>
        <w:lang w:val="en-US"/>
      </w:rPr>
      <w:t>The Authors | CC BY 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C56" w:rsidRDefault="00AF3C56" w:rsidP="005146DA">
      <w:pPr>
        <w:spacing w:after="0" w:line="240" w:lineRule="auto"/>
      </w:pPr>
      <w:r>
        <w:separator/>
      </w:r>
    </w:p>
  </w:footnote>
  <w:footnote w:type="continuationSeparator" w:id="0">
    <w:p w:rsidR="00AF3C56" w:rsidRDefault="00AF3C56" w:rsidP="00514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lantagenet Cherokee" w:hAnsi="Plantagenet Cherokee" w:cstheme="majorBidi"/>
        <w:color w:val="074F6A"/>
        <w:vertAlign w:val="subscript"/>
      </w:rPr>
      <w:id w:val="1703678282"/>
      <w:docPartObj>
        <w:docPartGallery w:val="Page Numbers (Top of Page)"/>
        <w:docPartUnique/>
      </w:docPartObj>
    </w:sdtPr>
    <w:sdtEndPr>
      <w:rPr>
        <w:rStyle w:val="BodyChar"/>
        <w:sz w:val="20"/>
        <w:szCs w:val="18"/>
      </w:rPr>
    </w:sdtEndPr>
    <w:sdtContent>
      <w:p w:rsidR="0031489C" w:rsidRPr="008F6C61" w:rsidRDefault="0031489C" w:rsidP="0031489C">
        <w:pPr>
          <w:pStyle w:val="Header"/>
          <w:pBdr>
            <w:bottom w:val="single" w:sz="4" w:space="1" w:color="D9D9D9" w:themeColor="background1" w:themeShade="D9"/>
          </w:pBdr>
          <w:jc w:val="center"/>
          <w:rPr>
            <w:rStyle w:val="BodyChar"/>
            <w:rFonts w:cstheme="majorBidi"/>
            <w:color w:val="074F6A"/>
            <w:sz w:val="18"/>
            <w:vertAlign w:val="subscript"/>
          </w:rPr>
        </w:pPr>
        <w:r w:rsidRPr="008F6C61">
          <w:rPr>
            <w:rFonts w:ascii="Plantagenet Cherokee" w:hAnsi="Plantagenet Cherokee" w:cstheme="majorBidi"/>
            <w:color w:val="074F6A"/>
            <w:vertAlign w:val="subscript"/>
          </w:rPr>
          <w:t>J</w:t>
        </w:r>
        <w:r w:rsidRPr="008F6C61">
          <w:rPr>
            <w:rStyle w:val="BodyChar"/>
            <w:rFonts w:cstheme="majorBidi"/>
            <w:color w:val="074F6A"/>
            <w:sz w:val="18"/>
            <w:vertAlign w:val="subscript"/>
          </w:rPr>
          <w:t>HRR-</w:t>
        </w:r>
        <w:r w:rsidR="009C0B6D">
          <w:rPr>
            <w:rStyle w:val="BodyChar"/>
            <w:rFonts w:cstheme="majorBidi"/>
            <w:color w:val="074F6A"/>
            <w:sz w:val="18"/>
            <w:vertAlign w:val="subscript"/>
          </w:rPr>
          <w:t>2002</w:t>
        </w:r>
        <w:r w:rsidRPr="008F6C61">
          <w:rPr>
            <w:rStyle w:val="BodyChar"/>
            <w:rFonts w:cstheme="majorBidi"/>
            <w:color w:val="074F6A"/>
            <w:sz w:val="18"/>
            <w:vertAlign w:val="subscript"/>
          </w:rPr>
          <w:t xml:space="preserve"> | </w:t>
        </w:r>
        <w:r w:rsidR="001D7633">
          <w:rPr>
            <w:rStyle w:val="BodyChar"/>
            <w:rFonts w:cstheme="majorBidi"/>
            <w:color w:val="074F6A"/>
            <w:sz w:val="18"/>
            <w:vertAlign w:val="subscript"/>
          </w:rPr>
          <w:t>2026</w:t>
        </w:r>
        <w:r w:rsidRPr="008F6C61">
          <w:rPr>
            <w:rStyle w:val="BodyChar"/>
            <w:rFonts w:cstheme="majorBidi"/>
            <w:color w:val="074F6A"/>
            <w:sz w:val="18"/>
            <w:vertAlign w:val="subscript"/>
          </w:rPr>
          <w:t>;</w:t>
        </w:r>
        <w:r w:rsidR="001D7633">
          <w:rPr>
            <w:rStyle w:val="BodyChar"/>
            <w:rFonts w:cstheme="majorBidi"/>
            <w:color w:val="074F6A"/>
            <w:sz w:val="18"/>
            <w:vertAlign w:val="subscript"/>
          </w:rPr>
          <w:t>6</w:t>
        </w:r>
        <w:r w:rsidRPr="008F6C61">
          <w:rPr>
            <w:rStyle w:val="BodyChar"/>
            <w:rFonts w:cstheme="majorBidi"/>
            <w:color w:val="074F6A"/>
            <w:sz w:val="18"/>
            <w:vertAlign w:val="subscript"/>
          </w:rPr>
          <w:t>(</w:t>
        </w:r>
        <w:r w:rsidR="00BB3BA0">
          <w:rPr>
            <w:rStyle w:val="BodyChar"/>
            <w:rFonts w:cstheme="majorBidi"/>
            <w:color w:val="074F6A"/>
            <w:sz w:val="18"/>
            <w:vertAlign w:val="subscript"/>
          </w:rPr>
          <w:t>3</w:t>
        </w:r>
        <w:r w:rsidRPr="008F6C61">
          <w:rPr>
            <w:rStyle w:val="BodyChar"/>
            <w:rFonts w:cstheme="majorBidi"/>
            <w:color w:val="074F6A"/>
            <w:sz w:val="18"/>
            <w:vertAlign w:val="subscript"/>
          </w:rPr>
          <w:t xml:space="preserve">) | ISSN 2791-156X | © </w:t>
        </w:r>
        <w:r w:rsidR="001D7633">
          <w:rPr>
            <w:rStyle w:val="BodyChar"/>
            <w:rFonts w:cstheme="majorBidi"/>
            <w:color w:val="074F6A"/>
            <w:sz w:val="18"/>
            <w:vertAlign w:val="subscript"/>
          </w:rPr>
          <w:t xml:space="preserve">2026 </w:t>
        </w:r>
        <w:r w:rsidRPr="008F6C61">
          <w:rPr>
            <w:rStyle w:val="BodyChar"/>
            <w:rFonts w:cstheme="majorBidi"/>
            <w:color w:val="074F6A"/>
            <w:sz w:val="18"/>
            <w:vertAlign w:val="subscript"/>
          </w:rPr>
          <w:t xml:space="preserve">The Authors | CC BY 4.0 | Page </w:t>
        </w:r>
        <w:r w:rsidRPr="008F6C61">
          <w:rPr>
            <w:rStyle w:val="BodyChar"/>
            <w:rFonts w:cstheme="majorBidi"/>
            <w:color w:val="074F6A"/>
            <w:sz w:val="18"/>
            <w:vertAlign w:val="subscript"/>
          </w:rPr>
          <w:fldChar w:fldCharType="begin"/>
        </w:r>
        <w:r w:rsidRPr="008F6C61">
          <w:rPr>
            <w:rStyle w:val="BodyChar"/>
            <w:rFonts w:cstheme="majorBidi"/>
            <w:color w:val="074F6A"/>
            <w:sz w:val="18"/>
            <w:vertAlign w:val="subscript"/>
          </w:rPr>
          <w:instrText xml:space="preserve"> PAGE   \* MERGEFORMAT </w:instrText>
        </w:r>
        <w:r w:rsidRPr="008F6C61">
          <w:rPr>
            <w:rStyle w:val="BodyChar"/>
            <w:rFonts w:cstheme="majorBidi"/>
            <w:color w:val="074F6A"/>
            <w:sz w:val="18"/>
            <w:vertAlign w:val="subscript"/>
          </w:rPr>
          <w:fldChar w:fldCharType="separate"/>
        </w:r>
        <w:r w:rsidR="009C0B6D" w:rsidRPr="009C0B6D">
          <w:rPr>
            <w:rStyle w:val="BodyChar"/>
            <w:rFonts w:cstheme="majorBidi"/>
            <w:noProof/>
            <w:color w:val="074F6A"/>
            <w:vertAlign w:val="subscript"/>
          </w:rPr>
          <w:t>9</w:t>
        </w:r>
        <w:r w:rsidRPr="008F6C61">
          <w:rPr>
            <w:rStyle w:val="BodyChar"/>
            <w:rFonts w:cstheme="majorBidi"/>
            <w:color w:val="074F6A"/>
            <w:sz w:val="18"/>
            <w:vertAlign w:val="subscript"/>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E9B" w:rsidRDefault="0074006B" w:rsidP="0074006B">
    <w:pPr>
      <w:pStyle w:val="NoSpacing"/>
      <w:tabs>
        <w:tab w:val="left" w:pos="220"/>
      </w:tabs>
      <w:rPr>
        <w:rFonts w:ascii="Plantagenet Cherokee" w:hAnsi="Plantagenet Cherokee"/>
      </w:rPr>
    </w:pPr>
    <w:r w:rsidRPr="00FB11F4">
      <w:rPr>
        <w:rFonts w:ascii="Plantagenet Cherokee" w:hAnsi="Plantagenet Cherokee"/>
        <w:noProof/>
        <w:sz w:val="14"/>
        <w:szCs w:val="14"/>
        <w:lang w:val="en-US"/>
      </w:rPr>
      <w:drawing>
        <wp:inline distT="0" distB="0" distL="0" distR="0" wp14:anchorId="5B611DF3" wp14:editId="22964501">
          <wp:extent cx="1024890" cy="196215"/>
          <wp:effectExtent l="0" t="0" r="3810" b="0"/>
          <wp:docPr id="2066777760" name="Graphic 1" descr="Journal of Health and Rehabilitation Research (JHRR)&#10;ISSN (Electronic): 2791-156X Publisher: Link Medical Interface (Private) Limited Publication Frequency: Monthly&#10;&#1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777760" name="Graphic 1" descr="Journal of Health and Rehabilitation Research (JHRR)&#10;ISSN (Electronic): 2791-156X Publisher: Link Medical Interface (Private) Limited Publication Frequency: Monthly&#10;&#10;">
                    <a:hlinkClick r:id="rId1"/>
                  </pic:cNvPr>
                  <pic:cNvPicPr/>
                </pic:nvPicPr>
                <pic:blipFill rotWithShape="1">
                  <a:blip r:embed="rId2">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3"/>
                      </a:ext>
                    </a:extLst>
                  </a:blip>
                  <a:srcRect t="24584" r="6553" b="27951"/>
                  <a:stretch>
                    <a:fillRect/>
                  </a:stretch>
                </pic:blipFill>
                <pic:spPr bwMode="auto">
                  <a:xfrm>
                    <a:off x="0" y="0"/>
                    <a:ext cx="1024890" cy="196215"/>
                  </a:xfrm>
                  <a:prstGeom prst="rect">
                    <a:avLst/>
                  </a:prstGeom>
                  <a:ln>
                    <a:noFill/>
                  </a:ln>
                  <a:extLst>
                    <a:ext uri="{53640926-AAD7-44D8-BBD7-CCE9431645EC}">
                      <a14:shadowObscured xmlns:a14="http://schemas.microsoft.com/office/drawing/2010/main"/>
                    </a:ext>
                  </a:extLst>
                </pic:spPr>
              </pic:pic>
            </a:graphicData>
          </a:graphic>
        </wp:inline>
      </w:drawing>
    </w:r>
    <w:r w:rsidR="00861E9B">
      <w:rPr>
        <w:rFonts w:ascii="Plantagenet Cherokee" w:hAnsi="Plantagenet Cherokee"/>
      </w:rPr>
      <w:tab/>
    </w:r>
  </w:p>
  <w:p w:rsidR="00861E9B" w:rsidRPr="0074006B" w:rsidRDefault="00861E9B" w:rsidP="0074006B">
    <w:pPr>
      <w:pStyle w:val="NoSpacing"/>
      <w:tabs>
        <w:tab w:val="left" w:pos="220"/>
      </w:tabs>
      <w:jc w:val="right"/>
      <w:rPr>
        <w:rFonts w:ascii="Plantagenet Cherokee" w:hAnsi="Plantagenet Cherokee"/>
        <w:color w:val="0B769F" w:themeColor="accent4" w:themeShade="BF"/>
        <w:sz w:val="14"/>
        <w:szCs w:val="14"/>
      </w:rPr>
    </w:pPr>
    <w:r w:rsidRPr="0074006B">
      <w:rPr>
        <w:rFonts w:ascii="Plantagenet Cherokee" w:hAnsi="Plantagenet Cherokee"/>
        <w:color w:val="0B769F" w:themeColor="accent4" w:themeShade="BF"/>
        <w:sz w:val="14"/>
        <w:szCs w:val="14"/>
      </w:rPr>
      <w:t>https://doi.org/</w:t>
    </w:r>
    <w:r w:rsidR="009C0B6D" w:rsidRPr="009C0B6D">
      <w:t xml:space="preserve"> </w:t>
    </w:r>
    <w:r w:rsidR="009C0B6D" w:rsidRPr="009C0B6D">
      <w:rPr>
        <w:rFonts w:ascii="Plantagenet Cherokee" w:hAnsi="Plantagenet Cherokee"/>
        <w:color w:val="0B769F" w:themeColor="accent4" w:themeShade="BF"/>
        <w:sz w:val="14"/>
        <w:szCs w:val="14"/>
      </w:rPr>
      <w:t>10.61919/jhrr.v6i4.2002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55FE6"/>
    <w:multiLevelType w:val="hybridMultilevel"/>
    <w:tmpl w:val="6AF0E9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F17909"/>
    <w:multiLevelType w:val="multilevel"/>
    <w:tmpl w:val="30A8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645447"/>
    <w:multiLevelType w:val="multilevel"/>
    <w:tmpl w:val="F89AC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842797"/>
    <w:multiLevelType w:val="multilevel"/>
    <w:tmpl w:val="F574E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667A1D"/>
    <w:multiLevelType w:val="multilevel"/>
    <w:tmpl w:val="D7B26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E435F4"/>
    <w:multiLevelType w:val="hybridMultilevel"/>
    <w:tmpl w:val="15780F6C"/>
    <w:lvl w:ilvl="0" w:tplc="DEC0253E">
      <w:start w:val="1"/>
      <w:numFmt w:val="decimal"/>
      <w:lvlText w:val="%1"/>
      <w:lvlJc w:val="left"/>
      <w:pPr>
        <w:ind w:left="36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840" w:hanging="180"/>
      </w:pPr>
    </w:lvl>
    <w:lvl w:ilvl="3" w:tplc="0409000F" w:tentative="1">
      <w:start w:val="1"/>
      <w:numFmt w:val="decimal"/>
      <w:lvlText w:val="%4."/>
      <w:lvlJc w:val="left"/>
      <w:pPr>
        <w:ind w:left="-120" w:hanging="360"/>
      </w:pPr>
    </w:lvl>
    <w:lvl w:ilvl="4" w:tplc="04090019" w:tentative="1">
      <w:start w:val="1"/>
      <w:numFmt w:val="lowerLetter"/>
      <w:lvlText w:val="%5."/>
      <w:lvlJc w:val="left"/>
      <w:pPr>
        <w:ind w:left="600" w:hanging="360"/>
      </w:pPr>
    </w:lvl>
    <w:lvl w:ilvl="5" w:tplc="0409001B" w:tentative="1">
      <w:start w:val="1"/>
      <w:numFmt w:val="lowerRoman"/>
      <w:lvlText w:val="%6."/>
      <w:lvlJc w:val="right"/>
      <w:pPr>
        <w:ind w:left="1320" w:hanging="180"/>
      </w:pPr>
    </w:lvl>
    <w:lvl w:ilvl="6" w:tplc="0409000F" w:tentative="1">
      <w:start w:val="1"/>
      <w:numFmt w:val="decimal"/>
      <w:lvlText w:val="%7."/>
      <w:lvlJc w:val="left"/>
      <w:pPr>
        <w:ind w:left="2040" w:hanging="360"/>
      </w:pPr>
    </w:lvl>
    <w:lvl w:ilvl="7" w:tplc="04090019" w:tentative="1">
      <w:start w:val="1"/>
      <w:numFmt w:val="lowerLetter"/>
      <w:lvlText w:val="%8."/>
      <w:lvlJc w:val="left"/>
      <w:pPr>
        <w:ind w:left="2760" w:hanging="360"/>
      </w:pPr>
    </w:lvl>
    <w:lvl w:ilvl="8" w:tplc="0409001B" w:tentative="1">
      <w:start w:val="1"/>
      <w:numFmt w:val="lowerRoman"/>
      <w:lvlText w:val="%9."/>
      <w:lvlJc w:val="right"/>
      <w:pPr>
        <w:ind w:left="3480" w:hanging="180"/>
      </w:pPr>
    </w:lvl>
  </w:abstractNum>
  <w:abstractNum w:abstractNumId="6">
    <w:nsid w:val="44CB5351"/>
    <w:multiLevelType w:val="hybridMultilevel"/>
    <w:tmpl w:val="009A9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EB7B06"/>
    <w:multiLevelType w:val="hybridMultilevel"/>
    <w:tmpl w:val="B25C1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E511D4"/>
    <w:multiLevelType w:val="hybridMultilevel"/>
    <w:tmpl w:val="6D5021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6F35870"/>
    <w:multiLevelType w:val="multilevel"/>
    <w:tmpl w:val="04B60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93B555F"/>
    <w:multiLevelType w:val="hybridMultilevel"/>
    <w:tmpl w:val="D0861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CE18A4"/>
    <w:multiLevelType w:val="multilevel"/>
    <w:tmpl w:val="0608B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2A61268"/>
    <w:multiLevelType w:val="hybridMultilevel"/>
    <w:tmpl w:val="8A6240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7A30711"/>
    <w:multiLevelType w:val="multilevel"/>
    <w:tmpl w:val="6D5A7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8175FCC"/>
    <w:multiLevelType w:val="hybridMultilevel"/>
    <w:tmpl w:val="C93EFE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87F7E9B"/>
    <w:multiLevelType w:val="hybridMultilevel"/>
    <w:tmpl w:val="D7B2490A"/>
    <w:lvl w:ilvl="0" w:tplc="990E1FC0">
      <w:start w:val="1"/>
      <w:numFmt w:val="decimal"/>
      <w:pStyle w:val="References"/>
      <w:lvlText w:val="%1"/>
      <w:lvlJc w:val="left"/>
      <w:pPr>
        <w:ind w:left="360" w:hanging="360"/>
      </w:pPr>
      <w:rPr>
        <w:rFonts w:ascii="Aptos" w:hAnsi="Aptos" w:cs="Georgia" w:hint="default"/>
        <w:b w:val="0"/>
        <w:bCs w:val="0"/>
        <w:i w:val="0"/>
        <w:iCs w:val="0"/>
        <w:caps w:val="0"/>
        <w:strike w:val="0"/>
        <w:dstrike w:val="0"/>
        <w:vanish w:val="0"/>
        <w:color w:val="000000" w:themeColor="text1"/>
        <w:kern w:val="0"/>
        <w:sz w:val="20"/>
        <w:szCs w:val="20"/>
        <w:vertAlign w:val="baseline"/>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AAC6842"/>
    <w:multiLevelType w:val="hybridMultilevel"/>
    <w:tmpl w:val="E8B2AC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DB54CD0"/>
    <w:multiLevelType w:val="hybridMultilevel"/>
    <w:tmpl w:val="FF286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5"/>
  </w:num>
  <w:num w:numId="3">
    <w:abstractNumId w:val="6"/>
  </w:num>
  <w:num w:numId="4">
    <w:abstractNumId w:val="13"/>
  </w:num>
  <w:num w:numId="5">
    <w:abstractNumId w:val="14"/>
  </w:num>
  <w:num w:numId="6">
    <w:abstractNumId w:val="3"/>
  </w:num>
  <w:num w:numId="7">
    <w:abstractNumId w:val="16"/>
  </w:num>
  <w:num w:numId="8">
    <w:abstractNumId w:val="9"/>
  </w:num>
  <w:num w:numId="9">
    <w:abstractNumId w:val="1"/>
  </w:num>
  <w:num w:numId="10">
    <w:abstractNumId w:val="12"/>
  </w:num>
  <w:num w:numId="11">
    <w:abstractNumId w:val="2"/>
  </w:num>
  <w:num w:numId="12">
    <w:abstractNumId w:val="0"/>
  </w:num>
  <w:num w:numId="13">
    <w:abstractNumId w:val="4"/>
  </w:num>
  <w:num w:numId="14">
    <w:abstractNumId w:val="8"/>
  </w:num>
  <w:num w:numId="15">
    <w:abstractNumId w:val="17"/>
  </w:num>
  <w:num w:numId="16">
    <w:abstractNumId w:val="10"/>
  </w:num>
  <w:num w:numId="17">
    <w:abstractNumId w:val="11"/>
  </w:num>
  <w:num w:numId="1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144"/>
  <w:drawingGridHorizontalSpacing w:val="144"/>
  <w:drawingGridVerticalSpacing w:val="144"/>
  <w:characterSpacingControl w:val="doNotCompress"/>
  <w:hdrShapeDefaults>
    <o:shapedefaults v:ext="edit" spidmax="2049">
      <o:colormru v:ext="edit" colors="#eee,#f5f5f5,#f9f9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B6D"/>
    <w:rsid w:val="000043F0"/>
    <w:rsid w:val="00004CC0"/>
    <w:rsid w:val="000061B5"/>
    <w:rsid w:val="0000693F"/>
    <w:rsid w:val="000078EA"/>
    <w:rsid w:val="000100BB"/>
    <w:rsid w:val="00012950"/>
    <w:rsid w:val="00012F54"/>
    <w:rsid w:val="000139DB"/>
    <w:rsid w:val="000148AB"/>
    <w:rsid w:val="00015BB5"/>
    <w:rsid w:val="0001648C"/>
    <w:rsid w:val="000166C1"/>
    <w:rsid w:val="00017948"/>
    <w:rsid w:val="00022307"/>
    <w:rsid w:val="000227F6"/>
    <w:rsid w:val="000247CA"/>
    <w:rsid w:val="00026CEF"/>
    <w:rsid w:val="0002734B"/>
    <w:rsid w:val="000321D9"/>
    <w:rsid w:val="0003240D"/>
    <w:rsid w:val="0003560D"/>
    <w:rsid w:val="0003581C"/>
    <w:rsid w:val="00036B89"/>
    <w:rsid w:val="00037203"/>
    <w:rsid w:val="000379B3"/>
    <w:rsid w:val="00041643"/>
    <w:rsid w:val="00041BBF"/>
    <w:rsid w:val="00041F12"/>
    <w:rsid w:val="00041F21"/>
    <w:rsid w:val="0004408C"/>
    <w:rsid w:val="00044BB6"/>
    <w:rsid w:val="00044C73"/>
    <w:rsid w:val="000461A7"/>
    <w:rsid w:val="00046C28"/>
    <w:rsid w:val="00046C7C"/>
    <w:rsid w:val="0004774C"/>
    <w:rsid w:val="00051F5C"/>
    <w:rsid w:val="000529A5"/>
    <w:rsid w:val="00053EFB"/>
    <w:rsid w:val="00055152"/>
    <w:rsid w:val="000566F8"/>
    <w:rsid w:val="00057EC7"/>
    <w:rsid w:val="00061461"/>
    <w:rsid w:val="0006178B"/>
    <w:rsid w:val="00063B00"/>
    <w:rsid w:val="0006433A"/>
    <w:rsid w:val="000645AC"/>
    <w:rsid w:val="0006672E"/>
    <w:rsid w:val="00066DE0"/>
    <w:rsid w:val="00075179"/>
    <w:rsid w:val="00077792"/>
    <w:rsid w:val="000820A1"/>
    <w:rsid w:val="00083257"/>
    <w:rsid w:val="00085E1C"/>
    <w:rsid w:val="00091AFC"/>
    <w:rsid w:val="00091F6A"/>
    <w:rsid w:val="000920D3"/>
    <w:rsid w:val="00092733"/>
    <w:rsid w:val="00092816"/>
    <w:rsid w:val="00092B1C"/>
    <w:rsid w:val="0009358D"/>
    <w:rsid w:val="00093E42"/>
    <w:rsid w:val="00094074"/>
    <w:rsid w:val="0009526A"/>
    <w:rsid w:val="00095B50"/>
    <w:rsid w:val="00096AB8"/>
    <w:rsid w:val="00097307"/>
    <w:rsid w:val="000A031C"/>
    <w:rsid w:val="000A1372"/>
    <w:rsid w:val="000A1CE1"/>
    <w:rsid w:val="000A201E"/>
    <w:rsid w:val="000A65A1"/>
    <w:rsid w:val="000A7A88"/>
    <w:rsid w:val="000B07E9"/>
    <w:rsid w:val="000B1B2C"/>
    <w:rsid w:val="000B408C"/>
    <w:rsid w:val="000B411A"/>
    <w:rsid w:val="000C202C"/>
    <w:rsid w:val="000C576E"/>
    <w:rsid w:val="000C5CF2"/>
    <w:rsid w:val="000C60BF"/>
    <w:rsid w:val="000C64C1"/>
    <w:rsid w:val="000C7E54"/>
    <w:rsid w:val="000D00DD"/>
    <w:rsid w:val="000D09FA"/>
    <w:rsid w:val="000D0FE6"/>
    <w:rsid w:val="000D32CA"/>
    <w:rsid w:val="000D3327"/>
    <w:rsid w:val="000D3952"/>
    <w:rsid w:val="000D3C08"/>
    <w:rsid w:val="000D3D22"/>
    <w:rsid w:val="000D3D71"/>
    <w:rsid w:val="000D61EE"/>
    <w:rsid w:val="000D62A3"/>
    <w:rsid w:val="000D63DB"/>
    <w:rsid w:val="000D7465"/>
    <w:rsid w:val="000E0E33"/>
    <w:rsid w:val="000E2EEF"/>
    <w:rsid w:val="000E656D"/>
    <w:rsid w:val="000F29F9"/>
    <w:rsid w:val="000F48C0"/>
    <w:rsid w:val="000F66A6"/>
    <w:rsid w:val="000F7F02"/>
    <w:rsid w:val="0010117A"/>
    <w:rsid w:val="00101454"/>
    <w:rsid w:val="00101CFD"/>
    <w:rsid w:val="00102CFA"/>
    <w:rsid w:val="00103294"/>
    <w:rsid w:val="00106239"/>
    <w:rsid w:val="001068B7"/>
    <w:rsid w:val="00107BA8"/>
    <w:rsid w:val="00110658"/>
    <w:rsid w:val="00110E72"/>
    <w:rsid w:val="001119D7"/>
    <w:rsid w:val="00112E6F"/>
    <w:rsid w:val="001131F8"/>
    <w:rsid w:val="00113B11"/>
    <w:rsid w:val="00113E50"/>
    <w:rsid w:val="0011409D"/>
    <w:rsid w:val="00114A92"/>
    <w:rsid w:val="00115B7A"/>
    <w:rsid w:val="00115EDF"/>
    <w:rsid w:val="00116404"/>
    <w:rsid w:val="00120480"/>
    <w:rsid w:val="00122FCB"/>
    <w:rsid w:val="001236CA"/>
    <w:rsid w:val="00130F18"/>
    <w:rsid w:val="001315E7"/>
    <w:rsid w:val="001322A0"/>
    <w:rsid w:val="0013322A"/>
    <w:rsid w:val="00135169"/>
    <w:rsid w:val="001374B4"/>
    <w:rsid w:val="001408A6"/>
    <w:rsid w:val="00140F5E"/>
    <w:rsid w:val="00142502"/>
    <w:rsid w:val="00142BE6"/>
    <w:rsid w:val="001475C8"/>
    <w:rsid w:val="001503AD"/>
    <w:rsid w:val="00152188"/>
    <w:rsid w:val="00152475"/>
    <w:rsid w:val="001530DB"/>
    <w:rsid w:val="00153B19"/>
    <w:rsid w:val="00155518"/>
    <w:rsid w:val="00155642"/>
    <w:rsid w:val="001561FA"/>
    <w:rsid w:val="00160234"/>
    <w:rsid w:val="0016033E"/>
    <w:rsid w:val="00160937"/>
    <w:rsid w:val="00161CCE"/>
    <w:rsid w:val="00165671"/>
    <w:rsid w:val="001677CE"/>
    <w:rsid w:val="0017042B"/>
    <w:rsid w:val="00171987"/>
    <w:rsid w:val="001759FB"/>
    <w:rsid w:val="00175A60"/>
    <w:rsid w:val="0017794D"/>
    <w:rsid w:val="001801C6"/>
    <w:rsid w:val="00180EF1"/>
    <w:rsid w:val="001835E8"/>
    <w:rsid w:val="00183633"/>
    <w:rsid w:val="00183C59"/>
    <w:rsid w:val="001842C8"/>
    <w:rsid w:val="001854B4"/>
    <w:rsid w:val="001907DF"/>
    <w:rsid w:val="00190B1E"/>
    <w:rsid w:val="00191AB1"/>
    <w:rsid w:val="00192B07"/>
    <w:rsid w:val="001934BD"/>
    <w:rsid w:val="00195166"/>
    <w:rsid w:val="001958E7"/>
    <w:rsid w:val="00195B04"/>
    <w:rsid w:val="00197895"/>
    <w:rsid w:val="001A1BC5"/>
    <w:rsid w:val="001A2B9E"/>
    <w:rsid w:val="001A35E8"/>
    <w:rsid w:val="001A4451"/>
    <w:rsid w:val="001A48AE"/>
    <w:rsid w:val="001A5A24"/>
    <w:rsid w:val="001A5C6F"/>
    <w:rsid w:val="001A662D"/>
    <w:rsid w:val="001A713C"/>
    <w:rsid w:val="001B1308"/>
    <w:rsid w:val="001B47E3"/>
    <w:rsid w:val="001B536B"/>
    <w:rsid w:val="001C0ABC"/>
    <w:rsid w:val="001C1962"/>
    <w:rsid w:val="001C2CD4"/>
    <w:rsid w:val="001C2E01"/>
    <w:rsid w:val="001C4806"/>
    <w:rsid w:val="001C5878"/>
    <w:rsid w:val="001C749C"/>
    <w:rsid w:val="001C7626"/>
    <w:rsid w:val="001C7FCC"/>
    <w:rsid w:val="001D08CB"/>
    <w:rsid w:val="001D0CAC"/>
    <w:rsid w:val="001D12F0"/>
    <w:rsid w:val="001D175C"/>
    <w:rsid w:val="001D1E7D"/>
    <w:rsid w:val="001D2E75"/>
    <w:rsid w:val="001D406B"/>
    <w:rsid w:val="001D4DA3"/>
    <w:rsid w:val="001D5C62"/>
    <w:rsid w:val="001D7633"/>
    <w:rsid w:val="001D7E59"/>
    <w:rsid w:val="001E1318"/>
    <w:rsid w:val="001E794B"/>
    <w:rsid w:val="001F044C"/>
    <w:rsid w:val="001F1BDB"/>
    <w:rsid w:val="001F1EC5"/>
    <w:rsid w:val="001F4423"/>
    <w:rsid w:val="001F59D2"/>
    <w:rsid w:val="001F5F30"/>
    <w:rsid w:val="001F7403"/>
    <w:rsid w:val="00201146"/>
    <w:rsid w:val="00202799"/>
    <w:rsid w:val="002033FB"/>
    <w:rsid w:val="002038D4"/>
    <w:rsid w:val="0020529B"/>
    <w:rsid w:val="00206FD7"/>
    <w:rsid w:val="00211CB2"/>
    <w:rsid w:val="00212B7E"/>
    <w:rsid w:val="00212FAD"/>
    <w:rsid w:val="00213A2A"/>
    <w:rsid w:val="0022313E"/>
    <w:rsid w:val="0022392C"/>
    <w:rsid w:val="002249DB"/>
    <w:rsid w:val="00227BED"/>
    <w:rsid w:val="002313BC"/>
    <w:rsid w:val="00231F85"/>
    <w:rsid w:val="0023234A"/>
    <w:rsid w:val="00234923"/>
    <w:rsid w:val="00236369"/>
    <w:rsid w:val="00237C3E"/>
    <w:rsid w:val="00240ACD"/>
    <w:rsid w:val="002411BB"/>
    <w:rsid w:val="002411EA"/>
    <w:rsid w:val="00242689"/>
    <w:rsid w:val="00244591"/>
    <w:rsid w:val="00246D74"/>
    <w:rsid w:val="00247F76"/>
    <w:rsid w:val="00250B28"/>
    <w:rsid w:val="00251A85"/>
    <w:rsid w:val="0025388D"/>
    <w:rsid w:val="00256D38"/>
    <w:rsid w:val="00261E5E"/>
    <w:rsid w:val="002645A1"/>
    <w:rsid w:val="00265A16"/>
    <w:rsid w:val="00266C23"/>
    <w:rsid w:val="00266EA3"/>
    <w:rsid w:val="00267569"/>
    <w:rsid w:val="00270061"/>
    <w:rsid w:val="00271C1E"/>
    <w:rsid w:val="00275274"/>
    <w:rsid w:val="00277397"/>
    <w:rsid w:val="00277756"/>
    <w:rsid w:val="002802F9"/>
    <w:rsid w:val="002816A1"/>
    <w:rsid w:val="00281D2E"/>
    <w:rsid w:val="00285461"/>
    <w:rsid w:val="0029007D"/>
    <w:rsid w:val="00291322"/>
    <w:rsid w:val="00291B86"/>
    <w:rsid w:val="00292106"/>
    <w:rsid w:val="00293152"/>
    <w:rsid w:val="00293D9C"/>
    <w:rsid w:val="002A1111"/>
    <w:rsid w:val="002A1FE3"/>
    <w:rsid w:val="002A386B"/>
    <w:rsid w:val="002A3B8E"/>
    <w:rsid w:val="002B12F8"/>
    <w:rsid w:val="002B17C5"/>
    <w:rsid w:val="002B21E4"/>
    <w:rsid w:val="002B32B9"/>
    <w:rsid w:val="002B444C"/>
    <w:rsid w:val="002B464D"/>
    <w:rsid w:val="002B4D0B"/>
    <w:rsid w:val="002C35DA"/>
    <w:rsid w:val="002C3902"/>
    <w:rsid w:val="002C3C36"/>
    <w:rsid w:val="002C72A5"/>
    <w:rsid w:val="002D1821"/>
    <w:rsid w:val="002D1E63"/>
    <w:rsid w:val="002D205F"/>
    <w:rsid w:val="002D2DF2"/>
    <w:rsid w:val="002D5782"/>
    <w:rsid w:val="002D5DB5"/>
    <w:rsid w:val="002D6FC1"/>
    <w:rsid w:val="002E151A"/>
    <w:rsid w:val="002E1DC4"/>
    <w:rsid w:val="002E1FF7"/>
    <w:rsid w:val="002E3349"/>
    <w:rsid w:val="002E3C00"/>
    <w:rsid w:val="002E74FE"/>
    <w:rsid w:val="002E7ED9"/>
    <w:rsid w:val="002F1CD9"/>
    <w:rsid w:val="002F2F9B"/>
    <w:rsid w:val="002F46AB"/>
    <w:rsid w:val="00301F8E"/>
    <w:rsid w:val="00304212"/>
    <w:rsid w:val="00304A06"/>
    <w:rsid w:val="00304AC7"/>
    <w:rsid w:val="003068E1"/>
    <w:rsid w:val="00307FDF"/>
    <w:rsid w:val="0031067C"/>
    <w:rsid w:val="0031489C"/>
    <w:rsid w:val="00314FBF"/>
    <w:rsid w:val="00317469"/>
    <w:rsid w:val="003176A3"/>
    <w:rsid w:val="00317C19"/>
    <w:rsid w:val="0032044C"/>
    <w:rsid w:val="00320DBD"/>
    <w:rsid w:val="00322584"/>
    <w:rsid w:val="00322829"/>
    <w:rsid w:val="00322915"/>
    <w:rsid w:val="0032553C"/>
    <w:rsid w:val="00325BC4"/>
    <w:rsid w:val="0032610F"/>
    <w:rsid w:val="00327C8C"/>
    <w:rsid w:val="00330E69"/>
    <w:rsid w:val="003323F7"/>
    <w:rsid w:val="0033354D"/>
    <w:rsid w:val="00334B4D"/>
    <w:rsid w:val="00335DDB"/>
    <w:rsid w:val="0033686D"/>
    <w:rsid w:val="00341065"/>
    <w:rsid w:val="003414CF"/>
    <w:rsid w:val="00344766"/>
    <w:rsid w:val="0034599F"/>
    <w:rsid w:val="00354733"/>
    <w:rsid w:val="003558D8"/>
    <w:rsid w:val="00355D58"/>
    <w:rsid w:val="003562FE"/>
    <w:rsid w:val="00356445"/>
    <w:rsid w:val="0036033B"/>
    <w:rsid w:val="00362A01"/>
    <w:rsid w:val="00365502"/>
    <w:rsid w:val="00366B00"/>
    <w:rsid w:val="003675B2"/>
    <w:rsid w:val="003719D0"/>
    <w:rsid w:val="00371F8D"/>
    <w:rsid w:val="00372011"/>
    <w:rsid w:val="0037286E"/>
    <w:rsid w:val="00373914"/>
    <w:rsid w:val="00374162"/>
    <w:rsid w:val="00382954"/>
    <w:rsid w:val="00382A00"/>
    <w:rsid w:val="00382BD4"/>
    <w:rsid w:val="00382FDD"/>
    <w:rsid w:val="00384503"/>
    <w:rsid w:val="00386C27"/>
    <w:rsid w:val="003879AF"/>
    <w:rsid w:val="00390462"/>
    <w:rsid w:val="00391441"/>
    <w:rsid w:val="00393576"/>
    <w:rsid w:val="00393E8E"/>
    <w:rsid w:val="00396AD3"/>
    <w:rsid w:val="00397890"/>
    <w:rsid w:val="00397EAC"/>
    <w:rsid w:val="003A1C9F"/>
    <w:rsid w:val="003A21E3"/>
    <w:rsid w:val="003A33C8"/>
    <w:rsid w:val="003A42FC"/>
    <w:rsid w:val="003A48A8"/>
    <w:rsid w:val="003A49E8"/>
    <w:rsid w:val="003A5112"/>
    <w:rsid w:val="003A6F94"/>
    <w:rsid w:val="003A70C5"/>
    <w:rsid w:val="003B07FC"/>
    <w:rsid w:val="003B1191"/>
    <w:rsid w:val="003B2272"/>
    <w:rsid w:val="003B3BE0"/>
    <w:rsid w:val="003B4944"/>
    <w:rsid w:val="003C408A"/>
    <w:rsid w:val="003C5346"/>
    <w:rsid w:val="003C5B39"/>
    <w:rsid w:val="003C5DCF"/>
    <w:rsid w:val="003C612A"/>
    <w:rsid w:val="003C6A2E"/>
    <w:rsid w:val="003C74AB"/>
    <w:rsid w:val="003D01E3"/>
    <w:rsid w:val="003D0CD2"/>
    <w:rsid w:val="003D1429"/>
    <w:rsid w:val="003D16D1"/>
    <w:rsid w:val="003D2729"/>
    <w:rsid w:val="003D287D"/>
    <w:rsid w:val="003D5E8B"/>
    <w:rsid w:val="003E0447"/>
    <w:rsid w:val="003E2CD6"/>
    <w:rsid w:val="003E38FB"/>
    <w:rsid w:val="003E3958"/>
    <w:rsid w:val="003E73E1"/>
    <w:rsid w:val="003E7B34"/>
    <w:rsid w:val="003F003B"/>
    <w:rsid w:val="003F04CB"/>
    <w:rsid w:val="003F074D"/>
    <w:rsid w:val="003F48CC"/>
    <w:rsid w:val="003F63DA"/>
    <w:rsid w:val="003F65CC"/>
    <w:rsid w:val="004002AE"/>
    <w:rsid w:val="00401159"/>
    <w:rsid w:val="00401A9B"/>
    <w:rsid w:val="0040253B"/>
    <w:rsid w:val="00402936"/>
    <w:rsid w:val="004034EE"/>
    <w:rsid w:val="00404D42"/>
    <w:rsid w:val="00405E0E"/>
    <w:rsid w:val="00406EC5"/>
    <w:rsid w:val="00407D81"/>
    <w:rsid w:val="00410CF0"/>
    <w:rsid w:val="004114B7"/>
    <w:rsid w:val="00414031"/>
    <w:rsid w:val="004142E9"/>
    <w:rsid w:val="004143EA"/>
    <w:rsid w:val="004149BE"/>
    <w:rsid w:val="00415859"/>
    <w:rsid w:val="00416B96"/>
    <w:rsid w:val="004175AC"/>
    <w:rsid w:val="00421657"/>
    <w:rsid w:val="0042170E"/>
    <w:rsid w:val="00423300"/>
    <w:rsid w:val="004301DA"/>
    <w:rsid w:val="00430DA3"/>
    <w:rsid w:val="00431879"/>
    <w:rsid w:val="00431DBE"/>
    <w:rsid w:val="00432173"/>
    <w:rsid w:val="00435EEF"/>
    <w:rsid w:val="0044140E"/>
    <w:rsid w:val="00441E67"/>
    <w:rsid w:val="0044217C"/>
    <w:rsid w:val="004449F4"/>
    <w:rsid w:val="00444C14"/>
    <w:rsid w:val="004461B8"/>
    <w:rsid w:val="004508C2"/>
    <w:rsid w:val="00450EE7"/>
    <w:rsid w:val="00452AE6"/>
    <w:rsid w:val="00453603"/>
    <w:rsid w:val="00453CF1"/>
    <w:rsid w:val="004566F3"/>
    <w:rsid w:val="00456D11"/>
    <w:rsid w:val="00461271"/>
    <w:rsid w:val="00462CF6"/>
    <w:rsid w:val="00463000"/>
    <w:rsid w:val="00465FA3"/>
    <w:rsid w:val="00470DE6"/>
    <w:rsid w:val="00471014"/>
    <w:rsid w:val="00475CCE"/>
    <w:rsid w:val="00475E64"/>
    <w:rsid w:val="004774AF"/>
    <w:rsid w:val="0048025B"/>
    <w:rsid w:val="00482000"/>
    <w:rsid w:val="004823B4"/>
    <w:rsid w:val="004829FF"/>
    <w:rsid w:val="00485879"/>
    <w:rsid w:val="00487062"/>
    <w:rsid w:val="004874D6"/>
    <w:rsid w:val="004878D6"/>
    <w:rsid w:val="00487FA1"/>
    <w:rsid w:val="004926D8"/>
    <w:rsid w:val="00494FED"/>
    <w:rsid w:val="0049556B"/>
    <w:rsid w:val="00496C23"/>
    <w:rsid w:val="004A0FB7"/>
    <w:rsid w:val="004A16F2"/>
    <w:rsid w:val="004A2795"/>
    <w:rsid w:val="004A4106"/>
    <w:rsid w:val="004A52FC"/>
    <w:rsid w:val="004B0026"/>
    <w:rsid w:val="004B4252"/>
    <w:rsid w:val="004B4D27"/>
    <w:rsid w:val="004B4E48"/>
    <w:rsid w:val="004B63B9"/>
    <w:rsid w:val="004C035B"/>
    <w:rsid w:val="004C3AB1"/>
    <w:rsid w:val="004C3F80"/>
    <w:rsid w:val="004C55AC"/>
    <w:rsid w:val="004C5971"/>
    <w:rsid w:val="004D09D0"/>
    <w:rsid w:val="004D2367"/>
    <w:rsid w:val="004D2547"/>
    <w:rsid w:val="004D26E8"/>
    <w:rsid w:val="004D2849"/>
    <w:rsid w:val="004D396B"/>
    <w:rsid w:val="004D44BE"/>
    <w:rsid w:val="004E143F"/>
    <w:rsid w:val="004E1B5A"/>
    <w:rsid w:val="004E333C"/>
    <w:rsid w:val="004E39C6"/>
    <w:rsid w:val="004E47BC"/>
    <w:rsid w:val="004E50C2"/>
    <w:rsid w:val="004F06B4"/>
    <w:rsid w:val="004F2315"/>
    <w:rsid w:val="004F66DD"/>
    <w:rsid w:val="00500F83"/>
    <w:rsid w:val="00503F3F"/>
    <w:rsid w:val="005054C1"/>
    <w:rsid w:val="0050730D"/>
    <w:rsid w:val="00507A70"/>
    <w:rsid w:val="00507F67"/>
    <w:rsid w:val="005146DA"/>
    <w:rsid w:val="005152EA"/>
    <w:rsid w:val="00515A9D"/>
    <w:rsid w:val="0051611C"/>
    <w:rsid w:val="00523EC9"/>
    <w:rsid w:val="00526503"/>
    <w:rsid w:val="00526A45"/>
    <w:rsid w:val="0052773C"/>
    <w:rsid w:val="00527766"/>
    <w:rsid w:val="0053019A"/>
    <w:rsid w:val="00530EAD"/>
    <w:rsid w:val="005344F2"/>
    <w:rsid w:val="005347B9"/>
    <w:rsid w:val="00535227"/>
    <w:rsid w:val="005353A2"/>
    <w:rsid w:val="00535623"/>
    <w:rsid w:val="005361A5"/>
    <w:rsid w:val="00537031"/>
    <w:rsid w:val="00537706"/>
    <w:rsid w:val="0054005E"/>
    <w:rsid w:val="00540348"/>
    <w:rsid w:val="00540F72"/>
    <w:rsid w:val="005413F8"/>
    <w:rsid w:val="005422BF"/>
    <w:rsid w:val="00542486"/>
    <w:rsid w:val="00543AE5"/>
    <w:rsid w:val="00543DF5"/>
    <w:rsid w:val="00546976"/>
    <w:rsid w:val="00550912"/>
    <w:rsid w:val="00552DC7"/>
    <w:rsid w:val="00555BA3"/>
    <w:rsid w:val="00555D52"/>
    <w:rsid w:val="00556932"/>
    <w:rsid w:val="00557181"/>
    <w:rsid w:val="00561CD4"/>
    <w:rsid w:val="005622C6"/>
    <w:rsid w:val="00562EF7"/>
    <w:rsid w:val="00563824"/>
    <w:rsid w:val="005646BC"/>
    <w:rsid w:val="005646D9"/>
    <w:rsid w:val="005657AC"/>
    <w:rsid w:val="0056769A"/>
    <w:rsid w:val="00567A30"/>
    <w:rsid w:val="005709F7"/>
    <w:rsid w:val="00571694"/>
    <w:rsid w:val="00572F51"/>
    <w:rsid w:val="0057358B"/>
    <w:rsid w:val="005736ED"/>
    <w:rsid w:val="005742BE"/>
    <w:rsid w:val="0057481D"/>
    <w:rsid w:val="005802BF"/>
    <w:rsid w:val="00580307"/>
    <w:rsid w:val="005819F8"/>
    <w:rsid w:val="005825B1"/>
    <w:rsid w:val="00583AC1"/>
    <w:rsid w:val="005901F3"/>
    <w:rsid w:val="00595AF5"/>
    <w:rsid w:val="00596A46"/>
    <w:rsid w:val="00596D29"/>
    <w:rsid w:val="005976DA"/>
    <w:rsid w:val="005A10C2"/>
    <w:rsid w:val="005A36DF"/>
    <w:rsid w:val="005A390F"/>
    <w:rsid w:val="005A48E1"/>
    <w:rsid w:val="005A7571"/>
    <w:rsid w:val="005B04A7"/>
    <w:rsid w:val="005B2619"/>
    <w:rsid w:val="005B29F7"/>
    <w:rsid w:val="005B40F1"/>
    <w:rsid w:val="005B6997"/>
    <w:rsid w:val="005C1303"/>
    <w:rsid w:val="005C2798"/>
    <w:rsid w:val="005C484D"/>
    <w:rsid w:val="005C4997"/>
    <w:rsid w:val="005C4F64"/>
    <w:rsid w:val="005C6C85"/>
    <w:rsid w:val="005C7DB8"/>
    <w:rsid w:val="005D0793"/>
    <w:rsid w:val="005D0F3B"/>
    <w:rsid w:val="005D1882"/>
    <w:rsid w:val="005D3E6D"/>
    <w:rsid w:val="005D45CC"/>
    <w:rsid w:val="005D582D"/>
    <w:rsid w:val="005D6D1D"/>
    <w:rsid w:val="005E0A78"/>
    <w:rsid w:val="005E188B"/>
    <w:rsid w:val="005E2971"/>
    <w:rsid w:val="005E3718"/>
    <w:rsid w:val="005E39D8"/>
    <w:rsid w:val="005E5A1D"/>
    <w:rsid w:val="005E5B34"/>
    <w:rsid w:val="005E6772"/>
    <w:rsid w:val="005E6F8B"/>
    <w:rsid w:val="005E79EB"/>
    <w:rsid w:val="005F063D"/>
    <w:rsid w:val="005F06DC"/>
    <w:rsid w:val="005F0C83"/>
    <w:rsid w:val="005F0E33"/>
    <w:rsid w:val="005F2807"/>
    <w:rsid w:val="005F2A1F"/>
    <w:rsid w:val="005F4BD7"/>
    <w:rsid w:val="005F532A"/>
    <w:rsid w:val="005F5471"/>
    <w:rsid w:val="005F6530"/>
    <w:rsid w:val="00600E13"/>
    <w:rsid w:val="0060186E"/>
    <w:rsid w:val="00603012"/>
    <w:rsid w:val="0060378E"/>
    <w:rsid w:val="00606834"/>
    <w:rsid w:val="00606CD0"/>
    <w:rsid w:val="006076EE"/>
    <w:rsid w:val="00607EA1"/>
    <w:rsid w:val="00610993"/>
    <w:rsid w:val="00611C33"/>
    <w:rsid w:val="00612AF1"/>
    <w:rsid w:val="0061397F"/>
    <w:rsid w:val="006147D0"/>
    <w:rsid w:val="00616116"/>
    <w:rsid w:val="00617C0F"/>
    <w:rsid w:val="00617C1B"/>
    <w:rsid w:val="00617DA6"/>
    <w:rsid w:val="006207B6"/>
    <w:rsid w:val="00620977"/>
    <w:rsid w:val="00620FC6"/>
    <w:rsid w:val="006245EE"/>
    <w:rsid w:val="00624882"/>
    <w:rsid w:val="00624BA3"/>
    <w:rsid w:val="0062573C"/>
    <w:rsid w:val="00625F9B"/>
    <w:rsid w:val="00626980"/>
    <w:rsid w:val="00627DFD"/>
    <w:rsid w:val="006314BE"/>
    <w:rsid w:val="006358C8"/>
    <w:rsid w:val="00635C3F"/>
    <w:rsid w:val="00642198"/>
    <w:rsid w:val="00643242"/>
    <w:rsid w:val="00643C5E"/>
    <w:rsid w:val="006461E1"/>
    <w:rsid w:val="00647434"/>
    <w:rsid w:val="006478B1"/>
    <w:rsid w:val="00647DF0"/>
    <w:rsid w:val="006507C7"/>
    <w:rsid w:val="00650CAE"/>
    <w:rsid w:val="00651954"/>
    <w:rsid w:val="0065271D"/>
    <w:rsid w:val="00653DD8"/>
    <w:rsid w:val="00653FCE"/>
    <w:rsid w:val="006574AD"/>
    <w:rsid w:val="006605F2"/>
    <w:rsid w:val="00660DF9"/>
    <w:rsid w:val="006620B3"/>
    <w:rsid w:val="006621CA"/>
    <w:rsid w:val="006622F8"/>
    <w:rsid w:val="0066417A"/>
    <w:rsid w:val="00666D64"/>
    <w:rsid w:val="0067099B"/>
    <w:rsid w:val="00670B42"/>
    <w:rsid w:val="006734FC"/>
    <w:rsid w:val="00673574"/>
    <w:rsid w:val="006735A6"/>
    <w:rsid w:val="00673E4B"/>
    <w:rsid w:val="00673E6B"/>
    <w:rsid w:val="006758E3"/>
    <w:rsid w:val="0068110D"/>
    <w:rsid w:val="006812D5"/>
    <w:rsid w:val="00681ED2"/>
    <w:rsid w:val="00682D38"/>
    <w:rsid w:val="00687BEA"/>
    <w:rsid w:val="006916B0"/>
    <w:rsid w:val="0069217D"/>
    <w:rsid w:val="006931B4"/>
    <w:rsid w:val="006967D0"/>
    <w:rsid w:val="00697728"/>
    <w:rsid w:val="00697800"/>
    <w:rsid w:val="006A1492"/>
    <w:rsid w:val="006A5380"/>
    <w:rsid w:val="006A5AD2"/>
    <w:rsid w:val="006B2043"/>
    <w:rsid w:val="006B4D59"/>
    <w:rsid w:val="006B721A"/>
    <w:rsid w:val="006B733B"/>
    <w:rsid w:val="006C1A5F"/>
    <w:rsid w:val="006C1F57"/>
    <w:rsid w:val="006C3576"/>
    <w:rsid w:val="006C3863"/>
    <w:rsid w:val="006C3A91"/>
    <w:rsid w:val="006C4A48"/>
    <w:rsid w:val="006C51B6"/>
    <w:rsid w:val="006C5A0C"/>
    <w:rsid w:val="006C68A4"/>
    <w:rsid w:val="006C7090"/>
    <w:rsid w:val="006D1788"/>
    <w:rsid w:val="006D2715"/>
    <w:rsid w:val="006D2744"/>
    <w:rsid w:val="006D611A"/>
    <w:rsid w:val="006D7419"/>
    <w:rsid w:val="006D74C2"/>
    <w:rsid w:val="006D7893"/>
    <w:rsid w:val="006D7C65"/>
    <w:rsid w:val="006E12A3"/>
    <w:rsid w:val="006E32EC"/>
    <w:rsid w:val="006E448E"/>
    <w:rsid w:val="006E5206"/>
    <w:rsid w:val="006E67E6"/>
    <w:rsid w:val="006F34FF"/>
    <w:rsid w:val="006F3726"/>
    <w:rsid w:val="006F4027"/>
    <w:rsid w:val="006F60C8"/>
    <w:rsid w:val="00700189"/>
    <w:rsid w:val="00700B71"/>
    <w:rsid w:val="0070200F"/>
    <w:rsid w:val="00703C3C"/>
    <w:rsid w:val="00703FE5"/>
    <w:rsid w:val="007043E3"/>
    <w:rsid w:val="007048B3"/>
    <w:rsid w:val="00704C4F"/>
    <w:rsid w:val="0070523E"/>
    <w:rsid w:val="007053AB"/>
    <w:rsid w:val="00705585"/>
    <w:rsid w:val="00705E00"/>
    <w:rsid w:val="00706208"/>
    <w:rsid w:val="007065A7"/>
    <w:rsid w:val="00707BE0"/>
    <w:rsid w:val="00710EFF"/>
    <w:rsid w:val="0071186E"/>
    <w:rsid w:val="00714F62"/>
    <w:rsid w:val="007155D2"/>
    <w:rsid w:val="00716287"/>
    <w:rsid w:val="00716F3C"/>
    <w:rsid w:val="00720ACD"/>
    <w:rsid w:val="007240C3"/>
    <w:rsid w:val="00724A9B"/>
    <w:rsid w:val="00724D3F"/>
    <w:rsid w:val="00725206"/>
    <w:rsid w:val="0072772C"/>
    <w:rsid w:val="00730F9B"/>
    <w:rsid w:val="007312DC"/>
    <w:rsid w:val="00732771"/>
    <w:rsid w:val="00732865"/>
    <w:rsid w:val="00733C0C"/>
    <w:rsid w:val="0074006B"/>
    <w:rsid w:val="00743320"/>
    <w:rsid w:val="00745E17"/>
    <w:rsid w:val="0075062B"/>
    <w:rsid w:val="00752D81"/>
    <w:rsid w:val="007530B9"/>
    <w:rsid w:val="00754A4C"/>
    <w:rsid w:val="00755436"/>
    <w:rsid w:val="00760029"/>
    <w:rsid w:val="00761EA5"/>
    <w:rsid w:val="00764FDD"/>
    <w:rsid w:val="0076511A"/>
    <w:rsid w:val="00765F43"/>
    <w:rsid w:val="0076697E"/>
    <w:rsid w:val="00767092"/>
    <w:rsid w:val="007739E7"/>
    <w:rsid w:val="0077422C"/>
    <w:rsid w:val="00776DD9"/>
    <w:rsid w:val="007775D8"/>
    <w:rsid w:val="007775F5"/>
    <w:rsid w:val="00780151"/>
    <w:rsid w:val="007864F7"/>
    <w:rsid w:val="00786933"/>
    <w:rsid w:val="0078700D"/>
    <w:rsid w:val="00787ED0"/>
    <w:rsid w:val="00791BA1"/>
    <w:rsid w:val="007925CD"/>
    <w:rsid w:val="0079276F"/>
    <w:rsid w:val="00793F57"/>
    <w:rsid w:val="00794854"/>
    <w:rsid w:val="00794A37"/>
    <w:rsid w:val="00795B8F"/>
    <w:rsid w:val="00795F33"/>
    <w:rsid w:val="00796BAB"/>
    <w:rsid w:val="00796D03"/>
    <w:rsid w:val="00797302"/>
    <w:rsid w:val="00797F39"/>
    <w:rsid w:val="00797FEE"/>
    <w:rsid w:val="007A514E"/>
    <w:rsid w:val="007A58EF"/>
    <w:rsid w:val="007A619B"/>
    <w:rsid w:val="007B008E"/>
    <w:rsid w:val="007B0C79"/>
    <w:rsid w:val="007B1190"/>
    <w:rsid w:val="007B1D07"/>
    <w:rsid w:val="007B1FFC"/>
    <w:rsid w:val="007B2839"/>
    <w:rsid w:val="007B2CBC"/>
    <w:rsid w:val="007B443F"/>
    <w:rsid w:val="007B52AC"/>
    <w:rsid w:val="007B5F49"/>
    <w:rsid w:val="007B608D"/>
    <w:rsid w:val="007B7617"/>
    <w:rsid w:val="007B7AC4"/>
    <w:rsid w:val="007C03D7"/>
    <w:rsid w:val="007C10F4"/>
    <w:rsid w:val="007C17FA"/>
    <w:rsid w:val="007C1877"/>
    <w:rsid w:val="007C187E"/>
    <w:rsid w:val="007C1A7E"/>
    <w:rsid w:val="007C1EFB"/>
    <w:rsid w:val="007C2E16"/>
    <w:rsid w:val="007C4C11"/>
    <w:rsid w:val="007D17F4"/>
    <w:rsid w:val="007D485A"/>
    <w:rsid w:val="007D70EE"/>
    <w:rsid w:val="007E33A2"/>
    <w:rsid w:val="007E3C28"/>
    <w:rsid w:val="007E579D"/>
    <w:rsid w:val="007E6C0D"/>
    <w:rsid w:val="007E7B2E"/>
    <w:rsid w:val="007F044A"/>
    <w:rsid w:val="007F1604"/>
    <w:rsid w:val="007F3F23"/>
    <w:rsid w:val="007F5C1A"/>
    <w:rsid w:val="00800BC2"/>
    <w:rsid w:val="008037CA"/>
    <w:rsid w:val="008048BD"/>
    <w:rsid w:val="00805C4C"/>
    <w:rsid w:val="00806822"/>
    <w:rsid w:val="00810C47"/>
    <w:rsid w:val="00811024"/>
    <w:rsid w:val="00811A76"/>
    <w:rsid w:val="00811ABE"/>
    <w:rsid w:val="00812D0C"/>
    <w:rsid w:val="0081341B"/>
    <w:rsid w:val="00813B32"/>
    <w:rsid w:val="00814444"/>
    <w:rsid w:val="00815AFE"/>
    <w:rsid w:val="00817622"/>
    <w:rsid w:val="008235AF"/>
    <w:rsid w:val="00823688"/>
    <w:rsid w:val="00823F09"/>
    <w:rsid w:val="0082503A"/>
    <w:rsid w:val="00825969"/>
    <w:rsid w:val="00825AC6"/>
    <w:rsid w:val="00826D0E"/>
    <w:rsid w:val="00826FA0"/>
    <w:rsid w:val="0083302B"/>
    <w:rsid w:val="00835F61"/>
    <w:rsid w:val="00837AB4"/>
    <w:rsid w:val="008416D5"/>
    <w:rsid w:val="00841B0D"/>
    <w:rsid w:val="00841EB4"/>
    <w:rsid w:val="00845FEE"/>
    <w:rsid w:val="00846588"/>
    <w:rsid w:val="008465B8"/>
    <w:rsid w:val="00847752"/>
    <w:rsid w:val="0084799A"/>
    <w:rsid w:val="008505AB"/>
    <w:rsid w:val="00850995"/>
    <w:rsid w:val="00852023"/>
    <w:rsid w:val="00856DD3"/>
    <w:rsid w:val="0085774C"/>
    <w:rsid w:val="00857FF9"/>
    <w:rsid w:val="00860699"/>
    <w:rsid w:val="00861E46"/>
    <w:rsid w:val="00861E9B"/>
    <w:rsid w:val="00861EA6"/>
    <w:rsid w:val="008624E3"/>
    <w:rsid w:val="008629A6"/>
    <w:rsid w:val="0086427C"/>
    <w:rsid w:val="00865AA7"/>
    <w:rsid w:val="008661D5"/>
    <w:rsid w:val="008706BD"/>
    <w:rsid w:val="00870E78"/>
    <w:rsid w:val="00871AFB"/>
    <w:rsid w:val="008723C9"/>
    <w:rsid w:val="00872D68"/>
    <w:rsid w:val="00873A6E"/>
    <w:rsid w:val="00875CFC"/>
    <w:rsid w:val="00876A03"/>
    <w:rsid w:val="00882494"/>
    <w:rsid w:val="00884D9D"/>
    <w:rsid w:val="008856EF"/>
    <w:rsid w:val="008945F1"/>
    <w:rsid w:val="008977C4"/>
    <w:rsid w:val="008A1FBF"/>
    <w:rsid w:val="008A2B46"/>
    <w:rsid w:val="008A4C13"/>
    <w:rsid w:val="008A7439"/>
    <w:rsid w:val="008A74AE"/>
    <w:rsid w:val="008B0C3B"/>
    <w:rsid w:val="008B0E50"/>
    <w:rsid w:val="008B1A41"/>
    <w:rsid w:val="008B2E38"/>
    <w:rsid w:val="008B2FE8"/>
    <w:rsid w:val="008B32AD"/>
    <w:rsid w:val="008B585F"/>
    <w:rsid w:val="008B694E"/>
    <w:rsid w:val="008C0CA9"/>
    <w:rsid w:val="008C17BF"/>
    <w:rsid w:val="008C24F0"/>
    <w:rsid w:val="008C333D"/>
    <w:rsid w:val="008C45D3"/>
    <w:rsid w:val="008C531A"/>
    <w:rsid w:val="008C5A28"/>
    <w:rsid w:val="008D04CD"/>
    <w:rsid w:val="008D07A5"/>
    <w:rsid w:val="008D0D3F"/>
    <w:rsid w:val="008D1A24"/>
    <w:rsid w:val="008D2640"/>
    <w:rsid w:val="008D2B2E"/>
    <w:rsid w:val="008D51D6"/>
    <w:rsid w:val="008D5981"/>
    <w:rsid w:val="008D5A7E"/>
    <w:rsid w:val="008D75B4"/>
    <w:rsid w:val="008E1B46"/>
    <w:rsid w:val="008E24CA"/>
    <w:rsid w:val="008E2547"/>
    <w:rsid w:val="008E352A"/>
    <w:rsid w:val="008E3D4C"/>
    <w:rsid w:val="008E4017"/>
    <w:rsid w:val="008E405E"/>
    <w:rsid w:val="008E526F"/>
    <w:rsid w:val="008E5670"/>
    <w:rsid w:val="008E60D5"/>
    <w:rsid w:val="008E6138"/>
    <w:rsid w:val="008F04BE"/>
    <w:rsid w:val="008F1FCE"/>
    <w:rsid w:val="008F253F"/>
    <w:rsid w:val="008F3A32"/>
    <w:rsid w:val="008F6958"/>
    <w:rsid w:val="008F6C61"/>
    <w:rsid w:val="008F71EC"/>
    <w:rsid w:val="00900F82"/>
    <w:rsid w:val="009027F1"/>
    <w:rsid w:val="009045B7"/>
    <w:rsid w:val="009049FC"/>
    <w:rsid w:val="00904F9E"/>
    <w:rsid w:val="0090574C"/>
    <w:rsid w:val="00906570"/>
    <w:rsid w:val="009100E1"/>
    <w:rsid w:val="00910A6D"/>
    <w:rsid w:val="00910CFA"/>
    <w:rsid w:val="00911185"/>
    <w:rsid w:val="009122E5"/>
    <w:rsid w:val="009136DA"/>
    <w:rsid w:val="00913EE7"/>
    <w:rsid w:val="00916D5A"/>
    <w:rsid w:val="0092103F"/>
    <w:rsid w:val="00922922"/>
    <w:rsid w:val="0092299C"/>
    <w:rsid w:val="00923311"/>
    <w:rsid w:val="00923DE8"/>
    <w:rsid w:val="00924699"/>
    <w:rsid w:val="00926C39"/>
    <w:rsid w:val="0093025B"/>
    <w:rsid w:val="0093091C"/>
    <w:rsid w:val="009339D3"/>
    <w:rsid w:val="009348F9"/>
    <w:rsid w:val="00935644"/>
    <w:rsid w:val="009400DD"/>
    <w:rsid w:val="00940834"/>
    <w:rsid w:val="00942B77"/>
    <w:rsid w:val="00945A13"/>
    <w:rsid w:val="00945BB9"/>
    <w:rsid w:val="00947C70"/>
    <w:rsid w:val="00952E6D"/>
    <w:rsid w:val="00953C55"/>
    <w:rsid w:val="0095594C"/>
    <w:rsid w:val="00962DCC"/>
    <w:rsid w:val="0096328D"/>
    <w:rsid w:val="00963DEC"/>
    <w:rsid w:val="00964329"/>
    <w:rsid w:val="00965C39"/>
    <w:rsid w:val="009668BC"/>
    <w:rsid w:val="00966ADB"/>
    <w:rsid w:val="009718DB"/>
    <w:rsid w:val="009738A1"/>
    <w:rsid w:val="00974339"/>
    <w:rsid w:val="009745AF"/>
    <w:rsid w:val="0097567B"/>
    <w:rsid w:val="00975A69"/>
    <w:rsid w:val="00977D59"/>
    <w:rsid w:val="00977FF8"/>
    <w:rsid w:val="00980A57"/>
    <w:rsid w:val="00981FA7"/>
    <w:rsid w:val="0098206C"/>
    <w:rsid w:val="009825BE"/>
    <w:rsid w:val="00982EE5"/>
    <w:rsid w:val="00983122"/>
    <w:rsid w:val="009844CE"/>
    <w:rsid w:val="009863BB"/>
    <w:rsid w:val="00986D1D"/>
    <w:rsid w:val="009872A9"/>
    <w:rsid w:val="0098775D"/>
    <w:rsid w:val="009903B3"/>
    <w:rsid w:val="00991657"/>
    <w:rsid w:val="0099661E"/>
    <w:rsid w:val="00996A96"/>
    <w:rsid w:val="00996F68"/>
    <w:rsid w:val="00996F86"/>
    <w:rsid w:val="00997964"/>
    <w:rsid w:val="009A16BA"/>
    <w:rsid w:val="009A2290"/>
    <w:rsid w:val="009A3149"/>
    <w:rsid w:val="009A5B77"/>
    <w:rsid w:val="009B0378"/>
    <w:rsid w:val="009B37FE"/>
    <w:rsid w:val="009B425F"/>
    <w:rsid w:val="009B69DA"/>
    <w:rsid w:val="009B71CF"/>
    <w:rsid w:val="009C0B6D"/>
    <w:rsid w:val="009C27A4"/>
    <w:rsid w:val="009C2B18"/>
    <w:rsid w:val="009C3E63"/>
    <w:rsid w:val="009C4855"/>
    <w:rsid w:val="009C51CD"/>
    <w:rsid w:val="009C5F04"/>
    <w:rsid w:val="009C5F71"/>
    <w:rsid w:val="009C6593"/>
    <w:rsid w:val="009C735B"/>
    <w:rsid w:val="009C7F03"/>
    <w:rsid w:val="009D204A"/>
    <w:rsid w:val="009D3281"/>
    <w:rsid w:val="009D52F5"/>
    <w:rsid w:val="009E0259"/>
    <w:rsid w:val="009E07B3"/>
    <w:rsid w:val="009E1B91"/>
    <w:rsid w:val="009E1EB5"/>
    <w:rsid w:val="009E27D7"/>
    <w:rsid w:val="009E322C"/>
    <w:rsid w:val="009E6B82"/>
    <w:rsid w:val="009E6FC0"/>
    <w:rsid w:val="009F0970"/>
    <w:rsid w:val="009F1F42"/>
    <w:rsid w:val="009F3EB8"/>
    <w:rsid w:val="009F609D"/>
    <w:rsid w:val="00A02744"/>
    <w:rsid w:val="00A04A1C"/>
    <w:rsid w:val="00A05C8B"/>
    <w:rsid w:val="00A06032"/>
    <w:rsid w:val="00A06362"/>
    <w:rsid w:val="00A11DD8"/>
    <w:rsid w:val="00A13F82"/>
    <w:rsid w:val="00A206D2"/>
    <w:rsid w:val="00A208C2"/>
    <w:rsid w:val="00A20E3F"/>
    <w:rsid w:val="00A225C4"/>
    <w:rsid w:val="00A245BA"/>
    <w:rsid w:val="00A26308"/>
    <w:rsid w:val="00A2661B"/>
    <w:rsid w:val="00A27A8C"/>
    <w:rsid w:val="00A30580"/>
    <w:rsid w:val="00A3099A"/>
    <w:rsid w:val="00A3148C"/>
    <w:rsid w:val="00A31C7D"/>
    <w:rsid w:val="00A32440"/>
    <w:rsid w:val="00A32C7B"/>
    <w:rsid w:val="00A35324"/>
    <w:rsid w:val="00A36D58"/>
    <w:rsid w:val="00A3718E"/>
    <w:rsid w:val="00A37FFC"/>
    <w:rsid w:val="00A41286"/>
    <w:rsid w:val="00A4154A"/>
    <w:rsid w:val="00A42FF2"/>
    <w:rsid w:val="00A43195"/>
    <w:rsid w:val="00A43717"/>
    <w:rsid w:val="00A4473B"/>
    <w:rsid w:val="00A44DDC"/>
    <w:rsid w:val="00A45E61"/>
    <w:rsid w:val="00A476AA"/>
    <w:rsid w:val="00A505D0"/>
    <w:rsid w:val="00A5103E"/>
    <w:rsid w:val="00A51AEC"/>
    <w:rsid w:val="00A529AB"/>
    <w:rsid w:val="00A5623F"/>
    <w:rsid w:val="00A6286D"/>
    <w:rsid w:val="00A62FE5"/>
    <w:rsid w:val="00A63DF5"/>
    <w:rsid w:val="00A64827"/>
    <w:rsid w:val="00A64D58"/>
    <w:rsid w:val="00A6627C"/>
    <w:rsid w:val="00A668AB"/>
    <w:rsid w:val="00A71999"/>
    <w:rsid w:val="00A75AF6"/>
    <w:rsid w:val="00A76868"/>
    <w:rsid w:val="00A77690"/>
    <w:rsid w:val="00A80189"/>
    <w:rsid w:val="00A815B7"/>
    <w:rsid w:val="00A81EE6"/>
    <w:rsid w:val="00A8268E"/>
    <w:rsid w:val="00A853C5"/>
    <w:rsid w:val="00A86DB1"/>
    <w:rsid w:val="00A92BC7"/>
    <w:rsid w:val="00A938AD"/>
    <w:rsid w:val="00A96331"/>
    <w:rsid w:val="00A964C6"/>
    <w:rsid w:val="00AA119B"/>
    <w:rsid w:val="00AA14E4"/>
    <w:rsid w:val="00AA16C5"/>
    <w:rsid w:val="00AA17A0"/>
    <w:rsid w:val="00AA2228"/>
    <w:rsid w:val="00AA2D1B"/>
    <w:rsid w:val="00AA41C1"/>
    <w:rsid w:val="00AA7767"/>
    <w:rsid w:val="00AA7BC6"/>
    <w:rsid w:val="00AB1AEF"/>
    <w:rsid w:val="00AB3101"/>
    <w:rsid w:val="00AB3EA4"/>
    <w:rsid w:val="00AB575F"/>
    <w:rsid w:val="00AB662D"/>
    <w:rsid w:val="00AB663C"/>
    <w:rsid w:val="00AB67FE"/>
    <w:rsid w:val="00AB7E40"/>
    <w:rsid w:val="00AC111B"/>
    <w:rsid w:val="00AC2080"/>
    <w:rsid w:val="00AC2B69"/>
    <w:rsid w:val="00AC4A59"/>
    <w:rsid w:val="00AD00B5"/>
    <w:rsid w:val="00AD3761"/>
    <w:rsid w:val="00AE0A57"/>
    <w:rsid w:val="00AE263A"/>
    <w:rsid w:val="00AE52C0"/>
    <w:rsid w:val="00AE66E9"/>
    <w:rsid w:val="00AE7518"/>
    <w:rsid w:val="00AE7666"/>
    <w:rsid w:val="00AF0AEB"/>
    <w:rsid w:val="00AF0F7D"/>
    <w:rsid w:val="00AF21A4"/>
    <w:rsid w:val="00AF3C56"/>
    <w:rsid w:val="00AF6109"/>
    <w:rsid w:val="00AF71FF"/>
    <w:rsid w:val="00B013A6"/>
    <w:rsid w:val="00B019E4"/>
    <w:rsid w:val="00B04E86"/>
    <w:rsid w:val="00B05131"/>
    <w:rsid w:val="00B0684F"/>
    <w:rsid w:val="00B06A2B"/>
    <w:rsid w:val="00B06D3D"/>
    <w:rsid w:val="00B071CA"/>
    <w:rsid w:val="00B104EA"/>
    <w:rsid w:val="00B1074A"/>
    <w:rsid w:val="00B14814"/>
    <w:rsid w:val="00B14E34"/>
    <w:rsid w:val="00B163F2"/>
    <w:rsid w:val="00B16EC3"/>
    <w:rsid w:val="00B17C4E"/>
    <w:rsid w:val="00B2167C"/>
    <w:rsid w:val="00B23301"/>
    <w:rsid w:val="00B254A4"/>
    <w:rsid w:val="00B26EDB"/>
    <w:rsid w:val="00B32931"/>
    <w:rsid w:val="00B331F7"/>
    <w:rsid w:val="00B33BAC"/>
    <w:rsid w:val="00B34737"/>
    <w:rsid w:val="00B3488C"/>
    <w:rsid w:val="00B34C26"/>
    <w:rsid w:val="00B354DE"/>
    <w:rsid w:val="00B37C4E"/>
    <w:rsid w:val="00B37CC5"/>
    <w:rsid w:val="00B401F6"/>
    <w:rsid w:val="00B41FC9"/>
    <w:rsid w:val="00B46CE3"/>
    <w:rsid w:val="00B55EF2"/>
    <w:rsid w:val="00B561D1"/>
    <w:rsid w:val="00B561F3"/>
    <w:rsid w:val="00B57BC7"/>
    <w:rsid w:val="00B60C72"/>
    <w:rsid w:val="00B60E11"/>
    <w:rsid w:val="00B61ACF"/>
    <w:rsid w:val="00B62142"/>
    <w:rsid w:val="00B6338D"/>
    <w:rsid w:val="00B675B1"/>
    <w:rsid w:val="00B675E7"/>
    <w:rsid w:val="00B676FB"/>
    <w:rsid w:val="00B70F76"/>
    <w:rsid w:val="00B7105E"/>
    <w:rsid w:val="00B72617"/>
    <w:rsid w:val="00B7373A"/>
    <w:rsid w:val="00B7547A"/>
    <w:rsid w:val="00B771A4"/>
    <w:rsid w:val="00B80105"/>
    <w:rsid w:val="00B80D57"/>
    <w:rsid w:val="00B853C9"/>
    <w:rsid w:val="00B85B0B"/>
    <w:rsid w:val="00B905FF"/>
    <w:rsid w:val="00B91B7C"/>
    <w:rsid w:val="00B92940"/>
    <w:rsid w:val="00B93186"/>
    <w:rsid w:val="00B933A6"/>
    <w:rsid w:val="00B94BBE"/>
    <w:rsid w:val="00B959FD"/>
    <w:rsid w:val="00B95C51"/>
    <w:rsid w:val="00B95FF7"/>
    <w:rsid w:val="00B97A50"/>
    <w:rsid w:val="00BA4229"/>
    <w:rsid w:val="00BA4C28"/>
    <w:rsid w:val="00BA6273"/>
    <w:rsid w:val="00BA775E"/>
    <w:rsid w:val="00BB15E1"/>
    <w:rsid w:val="00BB236F"/>
    <w:rsid w:val="00BB2ECE"/>
    <w:rsid w:val="00BB3BA0"/>
    <w:rsid w:val="00BB49D6"/>
    <w:rsid w:val="00BB6405"/>
    <w:rsid w:val="00BB6DA3"/>
    <w:rsid w:val="00BB6DB9"/>
    <w:rsid w:val="00BB7230"/>
    <w:rsid w:val="00BC0607"/>
    <w:rsid w:val="00BC20F5"/>
    <w:rsid w:val="00BC21F6"/>
    <w:rsid w:val="00BC499F"/>
    <w:rsid w:val="00BC6A0A"/>
    <w:rsid w:val="00BC78D8"/>
    <w:rsid w:val="00BD144C"/>
    <w:rsid w:val="00BD321A"/>
    <w:rsid w:val="00BD3A39"/>
    <w:rsid w:val="00BD52E8"/>
    <w:rsid w:val="00BD5CC2"/>
    <w:rsid w:val="00BD6204"/>
    <w:rsid w:val="00BD6695"/>
    <w:rsid w:val="00BE00F0"/>
    <w:rsid w:val="00BE11A6"/>
    <w:rsid w:val="00BE13BD"/>
    <w:rsid w:val="00BE3081"/>
    <w:rsid w:val="00BE3BA0"/>
    <w:rsid w:val="00BE4841"/>
    <w:rsid w:val="00BE5368"/>
    <w:rsid w:val="00BE5DB2"/>
    <w:rsid w:val="00BE5EB8"/>
    <w:rsid w:val="00BE648A"/>
    <w:rsid w:val="00BE7AE6"/>
    <w:rsid w:val="00BE7B63"/>
    <w:rsid w:val="00BF2FCC"/>
    <w:rsid w:val="00BF3BBF"/>
    <w:rsid w:val="00BF5564"/>
    <w:rsid w:val="00C00B6C"/>
    <w:rsid w:val="00C01B18"/>
    <w:rsid w:val="00C01B72"/>
    <w:rsid w:val="00C01D77"/>
    <w:rsid w:val="00C0223D"/>
    <w:rsid w:val="00C02A7D"/>
    <w:rsid w:val="00C03C44"/>
    <w:rsid w:val="00C05351"/>
    <w:rsid w:val="00C06909"/>
    <w:rsid w:val="00C0756D"/>
    <w:rsid w:val="00C10AEA"/>
    <w:rsid w:val="00C11C2C"/>
    <w:rsid w:val="00C1334F"/>
    <w:rsid w:val="00C14253"/>
    <w:rsid w:val="00C16082"/>
    <w:rsid w:val="00C178F5"/>
    <w:rsid w:val="00C17E5C"/>
    <w:rsid w:val="00C20D79"/>
    <w:rsid w:val="00C21DFF"/>
    <w:rsid w:val="00C225D2"/>
    <w:rsid w:val="00C2289C"/>
    <w:rsid w:val="00C23366"/>
    <w:rsid w:val="00C23723"/>
    <w:rsid w:val="00C237D0"/>
    <w:rsid w:val="00C2519F"/>
    <w:rsid w:val="00C32240"/>
    <w:rsid w:val="00C3266D"/>
    <w:rsid w:val="00C32CF1"/>
    <w:rsid w:val="00C36E93"/>
    <w:rsid w:val="00C36E99"/>
    <w:rsid w:val="00C42074"/>
    <w:rsid w:val="00C42803"/>
    <w:rsid w:val="00C43F22"/>
    <w:rsid w:val="00C447B5"/>
    <w:rsid w:val="00C44B26"/>
    <w:rsid w:val="00C4542E"/>
    <w:rsid w:val="00C47A47"/>
    <w:rsid w:val="00C54201"/>
    <w:rsid w:val="00C54B3B"/>
    <w:rsid w:val="00C56E1F"/>
    <w:rsid w:val="00C5706F"/>
    <w:rsid w:val="00C5741C"/>
    <w:rsid w:val="00C57932"/>
    <w:rsid w:val="00C605D2"/>
    <w:rsid w:val="00C60728"/>
    <w:rsid w:val="00C60B2E"/>
    <w:rsid w:val="00C614BD"/>
    <w:rsid w:val="00C633EF"/>
    <w:rsid w:val="00C65B17"/>
    <w:rsid w:val="00C6627F"/>
    <w:rsid w:val="00C71762"/>
    <w:rsid w:val="00C72366"/>
    <w:rsid w:val="00C72D83"/>
    <w:rsid w:val="00C74121"/>
    <w:rsid w:val="00C74CE2"/>
    <w:rsid w:val="00C76C5C"/>
    <w:rsid w:val="00C76F2E"/>
    <w:rsid w:val="00C776DA"/>
    <w:rsid w:val="00C77FF4"/>
    <w:rsid w:val="00C80116"/>
    <w:rsid w:val="00C8137A"/>
    <w:rsid w:val="00C83358"/>
    <w:rsid w:val="00C83835"/>
    <w:rsid w:val="00C839C4"/>
    <w:rsid w:val="00C84C63"/>
    <w:rsid w:val="00C87F29"/>
    <w:rsid w:val="00C90DE1"/>
    <w:rsid w:val="00C90E08"/>
    <w:rsid w:val="00C92197"/>
    <w:rsid w:val="00C958BB"/>
    <w:rsid w:val="00C969FB"/>
    <w:rsid w:val="00C97C27"/>
    <w:rsid w:val="00C97D96"/>
    <w:rsid w:val="00CA0094"/>
    <w:rsid w:val="00CA3412"/>
    <w:rsid w:val="00CA5314"/>
    <w:rsid w:val="00CA6CB4"/>
    <w:rsid w:val="00CA6FA5"/>
    <w:rsid w:val="00CA7D3C"/>
    <w:rsid w:val="00CB1A16"/>
    <w:rsid w:val="00CB3100"/>
    <w:rsid w:val="00CB42ED"/>
    <w:rsid w:val="00CB7EC7"/>
    <w:rsid w:val="00CC0DF2"/>
    <w:rsid w:val="00CC259C"/>
    <w:rsid w:val="00CC3855"/>
    <w:rsid w:val="00CC39AC"/>
    <w:rsid w:val="00CC640D"/>
    <w:rsid w:val="00CC7388"/>
    <w:rsid w:val="00CD182E"/>
    <w:rsid w:val="00CD2592"/>
    <w:rsid w:val="00CD5F5D"/>
    <w:rsid w:val="00CD62D7"/>
    <w:rsid w:val="00CD7B12"/>
    <w:rsid w:val="00CE0010"/>
    <w:rsid w:val="00CE08BB"/>
    <w:rsid w:val="00CE1C22"/>
    <w:rsid w:val="00CE2C50"/>
    <w:rsid w:val="00CE3F53"/>
    <w:rsid w:val="00CE6359"/>
    <w:rsid w:val="00CE70C9"/>
    <w:rsid w:val="00CE71AD"/>
    <w:rsid w:val="00CE7B3E"/>
    <w:rsid w:val="00CF178F"/>
    <w:rsid w:val="00CF2A70"/>
    <w:rsid w:val="00CF2CEB"/>
    <w:rsid w:val="00CF4C0F"/>
    <w:rsid w:val="00CF6CB4"/>
    <w:rsid w:val="00CF76B1"/>
    <w:rsid w:val="00CF7E3C"/>
    <w:rsid w:val="00CF7FE1"/>
    <w:rsid w:val="00D02A1D"/>
    <w:rsid w:val="00D0399E"/>
    <w:rsid w:val="00D03F09"/>
    <w:rsid w:val="00D04D32"/>
    <w:rsid w:val="00D06A53"/>
    <w:rsid w:val="00D1073B"/>
    <w:rsid w:val="00D1248A"/>
    <w:rsid w:val="00D128EB"/>
    <w:rsid w:val="00D146FA"/>
    <w:rsid w:val="00D14736"/>
    <w:rsid w:val="00D17538"/>
    <w:rsid w:val="00D17BF5"/>
    <w:rsid w:val="00D21F0F"/>
    <w:rsid w:val="00D22F01"/>
    <w:rsid w:val="00D25AC2"/>
    <w:rsid w:val="00D31858"/>
    <w:rsid w:val="00D32A66"/>
    <w:rsid w:val="00D33A43"/>
    <w:rsid w:val="00D3628E"/>
    <w:rsid w:val="00D37E63"/>
    <w:rsid w:val="00D40088"/>
    <w:rsid w:val="00D40155"/>
    <w:rsid w:val="00D416B3"/>
    <w:rsid w:val="00D42752"/>
    <w:rsid w:val="00D4280A"/>
    <w:rsid w:val="00D43F6C"/>
    <w:rsid w:val="00D44DAC"/>
    <w:rsid w:val="00D4603C"/>
    <w:rsid w:val="00D462B2"/>
    <w:rsid w:val="00D4798C"/>
    <w:rsid w:val="00D501C2"/>
    <w:rsid w:val="00D501F6"/>
    <w:rsid w:val="00D50F4C"/>
    <w:rsid w:val="00D51FB6"/>
    <w:rsid w:val="00D525DB"/>
    <w:rsid w:val="00D54D28"/>
    <w:rsid w:val="00D55A1D"/>
    <w:rsid w:val="00D564B3"/>
    <w:rsid w:val="00D575F0"/>
    <w:rsid w:val="00D579EF"/>
    <w:rsid w:val="00D601E9"/>
    <w:rsid w:val="00D64D08"/>
    <w:rsid w:val="00D66352"/>
    <w:rsid w:val="00D6673B"/>
    <w:rsid w:val="00D66FAF"/>
    <w:rsid w:val="00D66FB3"/>
    <w:rsid w:val="00D71AFF"/>
    <w:rsid w:val="00D72BE8"/>
    <w:rsid w:val="00D74018"/>
    <w:rsid w:val="00D74DBF"/>
    <w:rsid w:val="00D7531D"/>
    <w:rsid w:val="00D75641"/>
    <w:rsid w:val="00D7622F"/>
    <w:rsid w:val="00D762F8"/>
    <w:rsid w:val="00D7654D"/>
    <w:rsid w:val="00D765EA"/>
    <w:rsid w:val="00D766E7"/>
    <w:rsid w:val="00D767B2"/>
    <w:rsid w:val="00D77E96"/>
    <w:rsid w:val="00D77FF4"/>
    <w:rsid w:val="00D80597"/>
    <w:rsid w:val="00D82D80"/>
    <w:rsid w:val="00D830FF"/>
    <w:rsid w:val="00D8772A"/>
    <w:rsid w:val="00D900A8"/>
    <w:rsid w:val="00D91237"/>
    <w:rsid w:val="00D918D2"/>
    <w:rsid w:val="00D92472"/>
    <w:rsid w:val="00D92481"/>
    <w:rsid w:val="00D92AE3"/>
    <w:rsid w:val="00D92F2F"/>
    <w:rsid w:val="00D93025"/>
    <w:rsid w:val="00D95A42"/>
    <w:rsid w:val="00D962E5"/>
    <w:rsid w:val="00D96A92"/>
    <w:rsid w:val="00D96E92"/>
    <w:rsid w:val="00D97BE2"/>
    <w:rsid w:val="00DA17D2"/>
    <w:rsid w:val="00DA2AFC"/>
    <w:rsid w:val="00DA3112"/>
    <w:rsid w:val="00DA462C"/>
    <w:rsid w:val="00DA5B29"/>
    <w:rsid w:val="00DA5CC8"/>
    <w:rsid w:val="00DA6841"/>
    <w:rsid w:val="00DB178D"/>
    <w:rsid w:val="00DB4457"/>
    <w:rsid w:val="00DB569F"/>
    <w:rsid w:val="00DB59D8"/>
    <w:rsid w:val="00DB5E3C"/>
    <w:rsid w:val="00DB647A"/>
    <w:rsid w:val="00DB657E"/>
    <w:rsid w:val="00DB7100"/>
    <w:rsid w:val="00DC0B53"/>
    <w:rsid w:val="00DC3CFF"/>
    <w:rsid w:val="00DC4012"/>
    <w:rsid w:val="00DC5F3E"/>
    <w:rsid w:val="00DC78B5"/>
    <w:rsid w:val="00DD1183"/>
    <w:rsid w:val="00DD1C44"/>
    <w:rsid w:val="00DD34CB"/>
    <w:rsid w:val="00DD47C1"/>
    <w:rsid w:val="00DD54B9"/>
    <w:rsid w:val="00DD6215"/>
    <w:rsid w:val="00DE037F"/>
    <w:rsid w:val="00DE0542"/>
    <w:rsid w:val="00DE0FFD"/>
    <w:rsid w:val="00DE100D"/>
    <w:rsid w:val="00DE1734"/>
    <w:rsid w:val="00DE34DF"/>
    <w:rsid w:val="00DE61F6"/>
    <w:rsid w:val="00DE6824"/>
    <w:rsid w:val="00DE6953"/>
    <w:rsid w:val="00DE7250"/>
    <w:rsid w:val="00DF2172"/>
    <w:rsid w:val="00DF231E"/>
    <w:rsid w:val="00DF4372"/>
    <w:rsid w:val="00DF57B5"/>
    <w:rsid w:val="00DF6D5B"/>
    <w:rsid w:val="00DF71C3"/>
    <w:rsid w:val="00E0176F"/>
    <w:rsid w:val="00E02134"/>
    <w:rsid w:val="00E03270"/>
    <w:rsid w:val="00E07ADB"/>
    <w:rsid w:val="00E12E31"/>
    <w:rsid w:val="00E13621"/>
    <w:rsid w:val="00E13DE3"/>
    <w:rsid w:val="00E147AD"/>
    <w:rsid w:val="00E17836"/>
    <w:rsid w:val="00E17C44"/>
    <w:rsid w:val="00E202E9"/>
    <w:rsid w:val="00E222ED"/>
    <w:rsid w:val="00E233B2"/>
    <w:rsid w:val="00E245C6"/>
    <w:rsid w:val="00E2496D"/>
    <w:rsid w:val="00E24A4E"/>
    <w:rsid w:val="00E25390"/>
    <w:rsid w:val="00E265C3"/>
    <w:rsid w:val="00E3133D"/>
    <w:rsid w:val="00E329CB"/>
    <w:rsid w:val="00E32A3E"/>
    <w:rsid w:val="00E32DBE"/>
    <w:rsid w:val="00E338B1"/>
    <w:rsid w:val="00E3461A"/>
    <w:rsid w:val="00E34A0E"/>
    <w:rsid w:val="00E354D8"/>
    <w:rsid w:val="00E366A0"/>
    <w:rsid w:val="00E37420"/>
    <w:rsid w:val="00E4261A"/>
    <w:rsid w:val="00E43396"/>
    <w:rsid w:val="00E44806"/>
    <w:rsid w:val="00E44F88"/>
    <w:rsid w:val="00E51A44"/>
    <w:rsid w:val="00E51DDE"/>
    <w:rsid w:val="00E5347C"/>
    <w:rsid w:val="00E55F9A"/>
    <w:rsid w:val="00E57C0A"/>
    <w:rsid w:val="00E57F40"/>
    <w:rsid w:val="00E601D4"/>
    <w:rsid w:val="00E602F7"/>
    <w:rsid w:val="00E67E66"/>
    <w:rsid w:val="00E710F6"/>
    <w:rsid w:val="00E71D3E"/>
    <w:rsid w:val="00E73F3A"/>
    <w:rsid w:val="00E7476A"/>
    <w:rsid w:val="00E752D4"/>
    <w:rsid w:val="00E80963"/>
    <w:rsid w:val="00E82118"/>
    <w:rsid w:val="00E822D4"/>
    <w:rsid w:val="00E825CA"/>
    <w:rsid w:val="00E828F4"/>
    <w:rsid w:val="00E861AD"/>
    <w:rsid w:val="00E9061B"/>
    <w:rsid w:val="00E91134"/>
    <w:rsid w:val="00E9267D"/>
    <w:rsid w:val="00E9413F"/>
    <w:rsid w:val="00E94D26"/>
    <w:rsid w:val="00E94DCB"/>
    <w:rsid w:val="00E954F3"/>
    <w:rsid w:val="00E95F38"/>
    <w:rsid w:val="00E9621E"/>
    <w:rsid w:val="00E9658D"/>
    <w:rsid w:val="00E96AEB"/>
    <w:rsid w:val="00EA005B"/>
    <w:rsid w:val="00EA18C8"/>
    <w:rsid w:val="00EA1BB7"/>
    <w:rsid w:val="00EA32DE"/>
    <w:rsid w:val="00EA6E3B"/>
    <w:rsid w:val="00EB11AF"/>
    <w:rsid w:val="00EB21B5"/>
    <w:rsid w:val="00EB2D0B"/>
    <w:rsid w:val="00EB2DAA"/>
    <w:rsid w:val="00EB3071"/>
    <w:rsid w:val="00EB594B"/>
    <w:rsid w:val="00EC60BA"/>
    <w:rsid w:val="00EC64FA"/>
    <w:rsid w:val="00EC668E"/>
    <w:rsid w:val="00EC7B59"/>
    <w:rsid w:val="00ED023F"/>
    <w:rsid w:val="00ED10B5"/>
    <w:rsid w:val="00ED25B7"/>
    <w:rsid w:val="00ED2DA7"/>
    <w:rsid w:val="00ED69C4"/>
    <w:rsid w:val="00EE0ED7"/>
    <w:rsid w:val="00EE1364"/>
    <w:rsid w:val="00EE19ED"/>
    <w:rsid w:val="00EE1B9E"/>
    <w:rsid w:val="00EE21AE"/>
    <w:rsid w:val="00EE2D05"/>
    <w:rsid w:val="00EE2F08"/>
    <w:rsid w:val="00EE6036"/>
    <w:rsid w:val="00EE7546"/>
    <w:rsid w:val="00EE7C16"/>
    <w:rsid w:val="00EF0ECE"/>
    <w:rsid w:val="00EF1077"/>
    <w:rsid w:val="00EF3470"/>
    <w:rsid w:val="00EF49F4"/>
    <w:rsid w:val="00EF4F11"/>
    <w:rsid w:val="00EF57E1"/>
    <w:rsid w:val="00EF6142"/>
    <w:rsid w:val="00F00C50"/>
    <w:rsid w:val="00F03593"/>
    <w:rsid w:val="00F03C01"/>
    <w:rsid w:val="00F04D8F"/>
    <w:rsid w:val="00F0511A"/>
    <w:rsid w:val="00F06031"/>
    <w:rsid w:val="00F06A62"/>
    <w:rsid w:val="00F07672"/>
    <w:rsid w:val="00F1416F"/>
    <w:rsid w:val="00F14507"/>
    <w:rsid w:val="00F16785"/>
    <w:rsid w:val="00F178B9"/>
    <w:rsid w:val="00F21D22"/>
    <w:rsid w:val="00F22C88"/>
    <w:rsid w:val="00F24295"/>
    <w:rsid w:val="00F249D3"/>
    <w:rsid w:val="00F30163"/>
    <w:rsid w:val="00F30534"/>
    <w:rsid w:val="00F3121C"/>
    <w:rsid w:val="00F3281A"/>
    <w:rsid w:val="00F32A66"/>
    <w:rsid w:val="00F3347E"/>
    <w:rsid w:val="00F33C74"/>
    <w:rsid w:val="00F37371"/>
    <w:rsid w:val="00F37E2A"/>
    <w:rsid w:val="00F37EB5"/>
    <w:rsid w:val="00F408AA"/>
    <w:rsid w:val="00F41DF5"/>
    <w:rsid w:val="00F43D48"/>
    <w:rsid w:val="00F44A5F"/>
    <w:rsid w:val="00F456B6"/>
    <w:rsid w:val="00F460EB"/>
    <w:rsid w:val="00F517A5"/>
    <w:rsid w:val="00F53386"/>
    <w:rsid w:val="00F54727"/>
    <w:rsid w:val="00F57B2F"/>
    <w:rsid w:val="00F607D2"/>
    <w:rsid w:val="00F6224C"/>
    <w:rsid w:val="00F6314A"/>
    <w:rsid w:val="00F64E20"/>
    <w:rsid w:val="00F666FA"/>
    <w:rsid w:val="00F71093"/>
    <w:rsid w:val="00F71711"/>
    <w:rsid w:val="00F729A0"/>
    <w:rsid w:val="00F72EA4"/>
    <w:rsid w:val="00F73148"/>
    <w:rsid w:val="00F73DA2"/>
    <w:rsid w:val="00F75D2B"/>
    <w:rsid w:val="00F76297"/>
    <w:rsid w:val="00F76B13"/>
    <w:rsid w:val="00F76CC0"/>
    <w:rsid w:val="00F77052"/>
    <w:rsid w:val="00F774F1"/>
    <w:rsid w:val="00F775C2"/>
    <w:rsid w:val="00F83D84"/>
    <w:rsid w:val="00F83DB8"/>
    <w:rsid w:val="00F846CC"/>
    <w:rsid w:val="00F8532D"/>
    <w:rsid w:val="00F90642"/>
    <w:rsid w:val="00F92D05"/>
    <w:rsid w:val="00F95751"/>
    <w:rsid w:val="00F95C2D"/>
    <w:rsid w:val="00F9604C"/>
    <w:rsid w:val="00FA129C"/>
    <w:rsid w:val="00FA1E6F"/>
    <w:rsid w:val="00FA2DE9"/>
    <w:rsid w:val="00FA325D"/>
    <w:rsid w:val="00FA36A2"/>
    <w:rsid w:val="00FA400D"/>
    <w:rsid w:val="00FA5A8E"/>
    <w:rsid w:val="00FA6646"/>
    <w:rsid w:val="00FA715B"/>
    <w:rsid w:val="00FA7DE8"/>
    <w:rsid w:val="00FA7F74"/>
    <w:rsid w:val="00FB0537"/>
    <w:rsid w:val="00FB06CC"/>
    <w:rsid w:val="00FB11F4"/>
    <w:rsid w:val="00FB172C"/>
    <w:rsid w:val="00FB1914"/>
    <w:rsid w:val="00FB33B0"/>
    <w:rsid w:val="00FB42E2"/>
    <w:rsid w:val="00FB43A0"/>
    <w:rsid w:val="00FC00FF"/>
    <w:rsid w:val="00FC03AD"/>
    <w:rsid w:val="00FC25EE"/>
    <w:rsid w:val="00FC27E7"/>
    <w:rsid w:val="00FC7F1C"/>
    <w:rsid w:val="00FD023E"/>
    <w:rsid w:val="00FD0EC7"/>
    <w:rsid w:val="00FD0EF9"/>
    <w:rsid w:val="00FD1335"/>
    <w:rsid w:val="00FD407D"/>
    <w:rsid w:val="00FD6FAC"/>
    <w:rsid w:val="00FD7BB0"/>
    <w:rsid w:val="00FE0CD2"/>
    <w:rsid w:val="00FE13CC"/>
    <w:rsid w:val="00FE1D8A"/>
    <w:rsid w:val="00FE3783"/>
    <w:rsid w:val="00FE7C2C"/>
    <w:rsid w:val="00FF0DB3"/>
    <w:rsid w:val="00FF12FE"/>
    <w:rsid w:val="00FF16F9"/>
    <w:rsid w:val="00FF4702"/>
    <w:rsid w:val="00FF55B3"/>
    <w:rsid w:val="00FF74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ee,#f5f5f5,#f9f9f9"/>
    </o:shapedefaults>
    <o:shapelayout v:ext="edit">
      <o:idmap v:ext="edit" data="1"/>
    </o:shapelayout>
  </w:shapeDefaults>
  <w:decimalSymbol w:val="."/>
  <w:listSeparator w:val=","/>
  <w14:docId w14:val="3F8211ED"/>
  <w15:chartTrackingRefBased/>
  <w15:docId w15:val="{3C7D96F0-3A98-4678-9184-5E77CBAA7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DDC"/>
    <w:rPr>
      <w:rFonts w:ascii="Palatino Linotype" w:hAnsi="Palatino Linotype"/>
      <w:sz w:val="18"/>
      <w:lang w:val="en-GB"/>
    </w:rPr>
  </w:style>
  <w:style w:type="paragraph" w:styleId="Heading1">
    <w:name w:val="heading 1"/>
    <w:basedOn w:val="Normal"/>
    <w:next w:val="Normal"/>
    <w:link w:val="Heading1Char"/>
    <w:autoRedefine/>
    <w:uiPriority w:val="9"/>
    <w:qFormat/>
    <w:rsid w:val="006245EE"/>
    <w:pPr>
      <w:keepNext/>
      <w:keepLines/>
      <w:tabs>
        <w:tab w:val="left" w:pos="1350"/>
      </w:tabs>
      <w:spacing w:before="150" w:after="150" w:line="276" w:lineRule="auto"/>
      <w:outlineLvl w:val="0"/>
    </w:pPr>
    <w:rPr>
      <w:rFonts w:ascii="Plantagenet Cherokee" w:hAnsi="Plantagenet Cherokee" w:cstheme="majorBidi"/>
      <w:b/>
      <w:bCs/>
      <w:iCs/>
      <w:caps/>
      <w:color w:val="074F6A"/>
      <w:sz w:val="24"/>
      <w:lang w:val="en-US"/>
    </w:rPr>
  </w:style>
  <w:style w:type="paragraph" w:styleId="Heading2">
    <w:name w:val="heading 2"/>
    <w:basedOn w:val="Normal"/>
    <w:next w:val="Normal"/>
    <w:link w:val="Heading2Char"/>
    <w:uiPriority w:val="9"/>
    <w:unhideWhenUsed/>
    <w:qFormat/>
    <w:rsid w:val="004C03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03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3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3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3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3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3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3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5EE"/>
    <w:rPr>
      <w:rFonts w:ascii="Plantagenet Cherokee" w:hAnsi="Plantagenet Cherokee" w:cstheme="majorBidi"/>
      <w:b/>
      <w:bCs/>
      <w:iCs/>
      <w:caps/>
      <w:color w:val="074F6A"/>
      <w:sz w:val="24"/>
    </w:rPr>
  </w:style>
  <w:style w:type="character" w:customStyle="1" w:styleId="Heading2Char">
    <w:name w:val="Heading 2 Char"/>
    <w:basedOn w:val="DefaultParagraphFont"/>
    <w:link w:val="Heading2"/>
    <w:uiPriority w:val="9"/>
    <w:rsid w:val="004C035B"/>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4C035B"/>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4C035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4C035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4C035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C035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C035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C035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D6204"/>
    <w:pPr>
      <w:spacing w:after="0" w:line="240" w:lineRule="auto"/>
    </w:pPr>
    <w:rPr>
      <w:rFonts w:ascii="Minion Pro SmBd" w:hAnsi="Minion Pro SmBd" w:cstheme="majorBidi"/>
      <w:b/>
      <w:bCs/>
      <w:color w:val="007370"/>
      <w:sz w:val="40"/>
      <w:szCs w:val="40"/>
      <w:lang w:val="en-US"/>
    </w:rPr>
  </w:style>
  <w:style w:type="character" w:customStyle="1" w:styleId="TitleChar">
    <w:name w:val="Title Char"/>
    <w:basedOn w:val="DefaultParagraphFont"/>
    <w:link w:val="Title"/>
    <w:uiPriority w:val="10"/>
    <w:rsid w:val="00BD6204"/>
    <w:rPr>
      <w:rFonts w:ascii="Minion Pro SmBd" w:hAnsi="Minion Pro SmBd" w:cstheme="majorBidi"/>
      <w:b/>
      <w:bCs/>
      <w:color w:val="007370"/>
      <w:sz w:val="40"/>
      <w:szCs w:val="40"/>
    </w:rPr>
  </w:style>
  <w:style w:type="paragraph" w:styleId="Subtitle">
    <w:name w:val="Subtitle"/>
    <w:basedOn w:val="Normal"/>
    <w:next w:val="Normal"/>
    <w:link w:val="SubtitleChar"/>
    <w:uiPriority w:val="11"/>
    <w:qFormat/>
    <w:rsid w:val="004C03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35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C035B"/>
    <w:pPr>
      <w:spacing w:before="160"/>
      <w:jc w:val="center"/>
    </w:pPr>
    <w:rPr>
      <w:i/>
      <w:iCs/>
      <w:color w:val="404040" w:themeColor="text1" w:themeTint="BF"/>
    </w:rPr>
  </w:style>
  <w:style w:type="character" w:customStyle="1" w:styleId="QuoteChar">
    <w:name w:val="Quote Char"/>
    <w:basedOn w:val="DefaultParagraphFont"/>
    <w:link w:val="Quote"/>
    <w:uiPriority w:val="29"/>
    <w:rsid w:val="004C035B"/>
    <w:rPr>
      <w:i/>
      <w:iCs/>
      <w:color w:val="404040" w:themeColor="text1" w:themeTint="BF"/>
      <w:lang w:val="en-GB"/>
    </w:rPr>
  </w:style>
  <w:style w:type="paragraph" w:styleId="ListParagraph">
    <w:name w:val="List Paragraph"/>
    <w:basedOn w:val="Normal"/>
    <w:uiPriority w:val="34"/>
    <w:qFormat/>
    <w:rsid w:val="004C035B"/>
    <w:pPr>
      <w:ind w:left="720"/>
      <w:contextualSpacing/>
    </w:pPr>
  </w:style>
  <w:style w:type="character" w:styleId="IntenseEmphasis">
    <w:name w:val="Intense Emphasis"/>
    <w:basedOn w:val="DefaultParagraphFont"/>
    <w:uiPriority w:val="21"/>
    <w:qFormat/>
    <w:rsid w:val="004C035B"/>
    <w:rPr>
      <w:i/>
      <w:iCs/>
      <w:color w:val="0F4761" w:themeColor="accent1" w:themeShade="BF"/>
    </w:rPr>
  </w:style>
  <w:style w:type="paragraph" w:styleId="IntenseQuote">
    <w:name w:val="Intense Quote"/>
    <w:basedOn w:val="Normal"/>
    <w:next w:val="Normal"/>
    <w:link w:val="IntenseQuoteChar"/>
    <w:uiPriority w:val="30"/>
    <w:qFormat/>
    <w:rsid w:val="004C0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35B"/>
    <w:rPr>
      <w:i/>
      <w:iCs/>
      <w:color w:val="0F4761" w:themeColor="accent1" w:themeShade="BF"/>
      <w:lang w:val="en-GB"/>
    </w:rPr>
  </w:style>
  <w:style w:type="character" w:styleId="IntenseReference">
    <w:name w:val="Intense Reference"/>
    <w:basedOn w:val="DefaultParagraphFont"/>
    <w:uiPriority w:val="32"/>
    <w:qFormat/>
    <w:rsid w:val="004C035B"/>
    <w:rPr>
      <w:b/>
      <w:bCs/>
      <w:smallCaps/>
      <w:color w:val="0F4761" w:themeColor="accent1" w:themeShade="BF"/>
      <w:spacing w:val="5"/>
    </w:rPr>
  </w:style>
  <w:style w:type="character" w:styleId="Hyperlink">
    <w:name w:val="Hyperlink"/>
    <w:basedOn w:val="DefaultParagraphFont"/>
    <w:uiPriority w:val="99"/>
    <w:unhideWhenUsed/>
    <w:rsid w:val="004C035B"/>
    <w:rPr>
      <w:color w:val="467886" w:themeColor="hyperlink"/>
      <w:u w:val="single"/>
    </w:rPr>
  </w:style>
  <w:style w:type="paragraph" w:styleId="NoSpacing">
    <w:name w:val="No Spacing"/>
    <w:link w:val="NoSpacingChar"/>
    <w:uiPriority w:val="1"/>
    <w:qFormat/>
    <w:rsid w:val="004C035B"/>
    <w:pPr>
      <w:spacing w:after="0" w:line="240" w:lineRule="auto"/>
    </w:pPr>
    <w:rPr>
      <w:lang w:val="en-GB"/>
    </w:rPr>
  </w:style>
  <w:style w:type="character" w:customStyle="1" w:styleId="UnresolvedMention">
    <w:name w:val="Unresolved Mention"/>
    <w:basedOn w:val="DefaultParagraphFont"/>
    <w:uiPriority w:val="99"/>
    <w:semiHidden/>
    <w:unhideWhenUsed/>
    <w:rsid w:val="004C035B"/>
    <w:rPr>
      <w:color w:val="605E5C"/>
      <w:shd w:val="clear" w:color="auto" w:fill="E1DFDD"/>
    </w:rPr>
  </w:style>
  <w:style w:type="character" w:styleId="FollowedHyperlink">
    <w:name w:val="FollowedHyperlink"/>
    <w:basedOn w:val="DefaultParagraphFont"/>
    <w:uiPriority w:val="99"/>
    <w:semiHidden/>
    <w:unhideWhenUsed/>
    <w:rsid w:val="00092B1C"/>
    <w:rPr>
      <w:color w:val="96607D" w:themeColor="followedHyperlink"/>
      <w:u w:val="single"/>
    </w:rPr>
  </w:style>
  <w:style w:type="table" w:styleId="TableGrid">
    <w:name w:val="Table Grid"/>
    <w:basedOn w:val="TableNormal"/>
    <w:uiPriority w:val="39"/>
    <w:rsid w:val="00DE0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1Light">
    <w:name w:val="Grid Table 1 Light"/>
    <w:aliases w:val="JHRR"/>
    <w:basedOn w:val="TableNormal"/>
    <w:uiPriority w:val="46"/>
    <w:rsid w:val="00922922"/>
    <w:pPr>
      <w:spacing w:after="0" w:line="240" w:lineRule="auto"/>
      <w:jc w:val="center"/>
    </w:pPr>
    <w:rPr>
      <w:rFonts w:ascii="Arial Narrow" w:hAnsi="Arial Narrow"/>
      <w:b/>
      <w:sz w:val="16"/>
    </w:rPr>
    <w:tblPr>
      <w:tblStyleColBandSize w:val="1"/>
      <w:tblInd w:w="0" w:type="dxa"/>
      <w:tblBorders>
        <w:bottom w:val="single" w:sz="2" w:space="0" w:color="auto"/>
      </w:tblBorders>
      <w:tblCellMar>
        <w:top w:w="0" w:type="dxa"/>
        <w:left w:w="108" w:type="dxa"/>
        <w:bottom w:w="0" w:type="dxa"/>
        <w:right w:w="108" w:type="dxa"/>
      </w:tblCellMar>
    </w:tblPr>
    <w:tcPr>
      <w:vAlign w:val="center"/>
    </w:tcPr>
    <w:tblStylePr w:type="firstRow">
      <w:rPr>
        <w:rFonts w:ascii="Palatino Linotype" w:hAnsi="Palatino Linotype"/>
        <w:b/>
        <w:bCs/>
        <w:color w:val="000000" w:themeColor="text1"/>
        <w:sz w:val="20"/>
      </w:rPr>
      <w:tblPr/>
      <w:tcPr>
        <w:tcBorders>
          <w:top w:val="single" w:sz="2" w:space="0" w:color="auto"/>
          <w:bottom w:val="single" w:sz="2" w:space="0" w:color="auto"/>
        </w:tcBorders>
      </w:tcPr>
    </w:tblStylePr>
    <w:tblStylePr w:type="lastRow">
      <w:rPr>
        <w:rFonts w:ascii="Palatino Linotype" w:hAnsi="Palatino Linotype"/>
        <w:b w:val="0"/>
        <w:bCs/>
      </w:rPr>
      <w:tblPr/>
      <w:tcPr>
        <w:tcBorders>
          <w:top w:val="nil"/>
        </w:tcBorders>
      </w:tcPr>
    </w:tblStylePr>
    <w:tblStylePr w:type="firstCol">
      <w:rPr>
        <w:b/>
        <w:bCs/>
      </w:rPr>
    </w:tblStylePr>
    <w:tblStylePr w:type="lastCol">
      <w:rPr>
        <w:b w:val="0"/>
        <w:bCs/>
      </w:r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tblStylePr w:type="swCell">
      <w:rPr>
        <w:b/>
      </w:rPr>
    </w:tblStylePr>
  </w:style>
  <w:style w:type="paragraph" w:customStyle="1" w:styleId="Body">
    <w:name w:val="Body"/>
    <w:basedOn w:val="Normal"/>
    <w:link w:val="BodyChar"/>
    <w:qFormat/>
    <w:rsid w:val="00AD00B5"/>
    <w:pPr>
      <w:spacing w:after="165" w:line="276" w:lineRule="auto"/>
      <w:jc w:val="both"/>
    </w:pPr>
    <w:rPr>
      <w:rFonts w:ascii="Plantagenet Cherokee" w:hAnsi="Plantagenet Cherokee" w:cs="Arial"/>
      <w:sz w:val="20"/>
      <w:szCs w:val="18"/>
      <w:lang w:val="en-US"/>
    </w:rPr>
  </w:style>
  <w:style w:type="character" w:customStyle="1" w:styleId="BodyChar">
    <w:name w:val="Body Char"/>
    <w:basedOn w:val="DefaultParagraphFont"/>
    <w:link w:val="Body"/>
    <w:rsid w:val="00AD00B5"/>
    <w:rPr>
      <w:rFonts w:ascii="Plantagenet Cherokee" w:hAnsi="Plantagenet Cherokee" w:cs="Arial"/>
      <w:sz w:val="20"/>
      <w:szCs w:val="18"/>
    </w:rPr>
  </w:style>
  <w:style w:type="table" w:styleId="GridTable1Light-Accent1">
    <w:name w:val="Grid Table 1 Light Accent 1"/>
    <w:basedOn w:val="TableNormal"/>
    <w:uiPriority w:val="46"/>
    <w:rsid w:val="00DE0FFD"/>
    <w:pPr>
      <w:spacing w:after="0" w:line="240" w:lineRule="auto"/>
    </w:pPr>
    <w:tblPr>
      <w:tblStyleRowBandSize w:val="1"/>
      <w:tblStyleColBandSize w:val="1"/>
      <w:tblInd w:w="0" w:type="dxa"/>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CellMar>
        <w:top w:w="0" w:type="dxa"/>
        <w:left w:w="108" w:type="dxa"/>
        <w:bottom w:w="0" w:type="dxa"/>
        <w:right w:w="108" w:type="dxa"/>
      </w:tblCellMar>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DE0FF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References">
    <w:name w:val="References"/>
    <w:link w:val="ReferencesChar"/>
    <w:qFormat/>
    <w:rsid w:val="0022392C"/>
    <w:pPr>
      <w:numPr>
        <w:numId w:val="1"/>
      </w:numPr>
      <w:spacing w:line="276" w:lineRule="auto"/>
      <w:jc w:val="both"/>
    </w:pPr>
    <w:rPr>
      <w:rFonts w:ascii="Barlow" w:hAnsi="Barlow"/>
      <w:sz w:val="18"/>
      <w:szCs w:val="18"/>
      <w:lang w:val="en-GB"/>
    </w:rPr>
  </w:style>
  <w:style w:type="character" w:customStyle="1" w:styleId="ReferencesChar">
    <w:name w:val="References Char"/>
    <w:basedOn w:val="DefaultParagraphFont"/>
    <w:link w:val="References"/>
    <w:rsid w:val="0022392C"/>
    <w:rPr>
      <w:rFonts w:ascii="Barlow" w:hAnsi="Barlow"/>
      <w:sz w:val="18"/>
      <w:szCs w:val="18"/>
      <w:lang w:val="en-GB"/>
    </w:rPr>
  </w:style>
  <w:style w:type="paragraph" w:styleId="Header">
    <w:name w:val="header"/>
    <w:basedOn w:val="Normal"/>
    <w:link w:val="HeaderChar"/>
    <w:uiPriority w:val="99"/>
    <w:unhideWhenUsed/>
    <w:rsid w:val="00514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6DA"/>
    <w:rPr>
      <w:lang w:val="en-GB"/>
    </w:rPr>
  </w:style>
  <w:style w:type="paragraph" w:styleId="Footer">
    <w:name w:val="footer"/>
    <w:basedOn w:val="Normal"/>
    <w:link w:val="FooterChar"/>
    <w:uiPriority w:val="99"/>
    <w:unhideWhenUsed/>
    <w:rsid w:val="00514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6DA"/>
    <w:rPr>
      <w:lang w:val="en-GB"/>
    </w:rPr>
  </w:style>
  <w:style w:type="paragraph" w:styleId="Caption">
    <w:name w:val="caption"/>
    <w:basedOn w:val="Normal"/>
    <w:next w:val="Normal"/>
    <w:uiPriority w:val="35"/>
    <w:unhideWhenUsed/>
    <w:qFormat/>
    <w:rsid w:val="006245EE"/>
    <w:pPr>
      <w:spacing w:before="240" w:after="100" w:line="276" w:lineRule="auto"/>
    </w:pPr>
    <w:rPr>
      <w:rFonts w:ascii="Plantagenet Cherokee" w:hAnsi="Plantagenet Cherokee" w:cs="Calibri"/>
      <w:b/>
      <w:i/>
      <w:color w:val="074F6A"/>
      <w:sz w:val="16"/>
      <w:szCs w:val="14"/>
    </w:rPr>
  </w:style>
  <w:style w:type="character" w:styleId="Strong">
    <w:name w:val="Strong"/>
    <w:basedOn w:val="DefaultParagraphFont"/>
    <w:uiPriority w:val="22"/>
    <w:qFormat/>
    <w:rsid w:val="002D5DB5"/>
    <w:rPr>
      <w:b/>
      <w:bCs/>
    </w:rPr>
  </w:style>
  <w:style w:type="paragraph" w:styleId="NormalWeb">
    <w:name w:val="Normal (Web)"/>
    <w:basedOn w:val="Normal"/>
    <w:uiPriority w:val="99"/>
    <w:unhideWhenUsed/>
    <w:rsid w:val="002D5DB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2D5DB5"/>
    <w:rPr>
      <w:i/>
      <w:iCs/>
    </w:rPr>
  </w:style>
  <w:style w:type="table" w:customStyle="1" w:styleId="LMJ">
    <w:name w:val="LMJ"/>
    <w:basedOn w:val="TableNormal"/>
    <w:uiPriority w:val="99"/>
    <w:rsid w:val="008629A6"/>
    <w:pPr>
      <w:spacing w:before="120" w:after="120" w:line="240" w:lineRule="auto"/>
    </w:pPr>
    <w:rPr>
      <w:rFonts w:ascii="Minion Pro" w:hAnsi="Minion Pro"/>
      <w:color w:val="000000" w:themeColor="text1"/>
      <w:sz w:val="16"/>
      <w14:textFill>
        <w14:gradFill>
          <w14:gsLst>
            <w14:gs w14:pos="0">
              <w14:schemeClr w14:val="tx1"/>
            </w14:gs>
            <w14:gs w14:pos="40000">
              <w14:srgbClr w14:val="004846"/>
            </w14:gs>
            <w14:gs w14:pos="68000">
              <w14:srgbClr w14:val="002A29"/>
            </w14:gs>
            <w14:gs w14:pos="100000">
              <w14:srgbClr w14:val="007370"/>
            </w14:gs>
          </w14:gsLst>
          <w14:lin w14:ang="2700000" w14:scaled="0"/>
        </w14:gradFill>
      </w14:textFill>
    </w:rPr>
    <w:tblPr>
      <w:tblStyleRowBandSize w:val="1"/>
      <w:tblStyleColBandSize w:val="1"/>
      <w:tblInd w:w="0" w:type="dxa"/>
      <w:tblBorders>
        <w:bottom w:val="single" w:sz="4" w:space="0" w:color="000000" w:themeColor="text1"/>
      </w:tblBorders>
      <w:tblCellMar>
        <w:top w:w="0" w:type="dxa"/>
        <w:left w:w="108" w:type="dxa"/>
        <w:bottom w:w="0" w:type="dxa"/>
        <w:right w:w="108" w:type="dxa"/>
      </w:tblCellMar>
    </w:tblPr>
    <w:tcPr>
      <w:shd w:val="clear" w:color="auto" w:fill="auto"/>
    </w:tcPr>
    <w:tblStylePr w:type="firstRow">
      <w:pPr>
        <w:jc w:val="left"/>
      </w:pPr>
      <w:rPr>
        <w:rFonts w:ascii="Kermit Thin Expanded" w:hAnsi="Kermit Thin Expanded"/>
        <w:b/>
        <w:color w:val="000000" w:themeColor="text1"/>
        <w:sz w:val="16"/>
        <w14:textFill>
          <w14:solidFill>
            <w14:schemeClr w14:val="tx1"/>
          </w14:solidFill>
        </w14:textFill>
      </w:rPr>
      <w:tblPr/>
      <w:tcPr>
        <w:tcBorders>
          <w:top w:val="single" w:sz="2" w:space="0" w:color="004846"/>
          <w:bottom w:val="single" w:sz="2" w:space="0" w:color="004846"/>
        </w:tcBorders>
        <w:shd w:val="clear" w:color="auto" w:fill="auto"/>
      </w:tcPr>
    </w:tblStylePr>
    <w:tblStylePr w:type="lastRow">
      <w:rPr>
        <w:rFonts w:ascii="Kermit Thin Expanded" w:hAnsi="Kermit Thin Expanded"/>
        <w:color w:val="000000" w:themeColor="text1"/>
        <w:sz w:val="16"/>
      </w:rPr>
    </w:tblStylePr>
    <w:tblStylePr w:type="firstCol">
      <w:pPr>
        <w:jc w:val="left"/>
      </w:pPr>
      <w:rPr>
        <w:rFonts w:ascii="Kermit Thin Expanded" w:hAnsi="Kermit Thin Expanded"/>
        <w:b/>
        <w:color w:val="000000" w:themeColor="text1"/>
        <w:sz w:val="16"/>
      </w:rPr>
    </w:tblStylePr>
    <w:tblStylePr w:type="lastCol">
      <w:rPr>
        <w:rFonts w:ascii="Kermit Thin Expanded" w:hAnsi="Kermit Thin Expanded"/>
        <w:color w:val="000000" w:themeColor="text1"/>
        <w:sz w:val="16"/>
      </w:rPr>
    </w:tblStylePr>
    <w:tblStylePr w:type="band1Vert">
      <w:rPr>
        <w:rFonts w:ascii="Kermit Thin Expanded" w:hAnsi="Kermit Thin Expanded"/>
        <w:color w:val="000000" w:themeColor="text1"/>
        <w:sz w:val="16"/>
      </w:rPr>
    </w:tblStylePr>
    <w:tblStylePr w:type="band2Vert">
      <w:rPr>
        <w:rFonts w:ascii="Kermit Thin Expanded" w:hAnsi="Kermit Thin Expanded"/>
        <w:color w:val="000000" w:themeColor="text1"/>
        <w:sz w:val="16"/>
      </w:rPr>
    </w:tblStylePr>
    <w:tblStylePr w:type="band1Horz">
      <w:rPr>
        <w:rFonts w:ascii="Kermit Thin Expanded" w:hAnsi="Kermit Thin Expanded"/>
        <w:color w:val="000000" w:themeColor="text1"/>
        <w:sz w:val="16"/>
      </w:rPr>
    </w:tblStylePr>
    <w:tblStylePr w:type="band2Horz">
      <w:rPr>
        <w:rFonts w:ascii="Kermit Thin Expanded" w:hAnsi="Kermit Thin Expanded"/>
        <w:color w:val="000000" w:themeColor="text1"/>
        <w:sz w:val="16"/>
      </w:rPr>
    </w:tblStylePr>
  </w:style>
  <w:style w:type="paragraph" w:customStyle="1" w:styleId="Abstract">
    <w:name w:val="Abstract"/>
    <w:basedOn w:val="NoSpacing"/>
    <w:link w:val="AbstractChar"/>
    <w:qFormat/>
    <w:rsid w:val="00B46CE3"/>
    <w:pPr>
      <w:spacing w:line="276" w:lineRule="auto"/>
      <w:jc w:val="both"/>
    </w:pPr>
    <w:rPr>
      <w:rFonts w:ascii="Minion Pro" w:hAnsi="Minion Pro" w:cs="Khmer UI"/>
      <w:i/>
      <w:iCs/>
      <w:sz w:val="16"/>
      <w:szCs w:val="18"/>
    </w:rPr>
  </w:style>
  <w:style w:type="character" w:customStyle="1" w:styleId="NoSpacingChar">
    <w:name w:val="No Spacing Char"/>
    <w:basedOn w:val="DefaultParagraphFont"/>
    <w:link w:val="NoSpacing"/>
    <w:uiPriority w:val="1"/>
    <w:rsid w:val="001677CE"/>
    <w:rPr>
      <w:lang w:val="en-GB"/>
    </w:rPr>
  </w:style>
  <w:style w:type="character" w:customStyle="1" w:styleId="AbstractChar">
    <w:name w:val="Abstract Char"/>
    <w:basedOn w:val="NoSpacingChar"/>
    <w:link w:val="Abstract"/>
    <w:rsid w:val="00B46CE3"/>
    <w:rPr>
      <w:rFonts w:ascii="Minion Pro" w:hAnsi="Minion Pro" w:cs="Khmer UI"/>
      <w:i/>
      <w:iCs/>
      <w:sz w:val="16"/>
      <w:szCs w:val="18"/>
      <w:lang w:val="en-GB"/>
    </w:rPr>
  </w:style>
  <w:style w:type="table" w:styleId="PlainTable5">
    <w:name w:val="Plain Table 5"/>
    <w:basedOn w:val="TableNormal"/>
    <w:uiPriority w:val="45"/>
    <w:rsid w:val="00CE3F53"/>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0820A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F003B"/>
    <w:pPr>
      <w:spacing w:after="0" w:line="240" w:lineRule="auto"/>
    </w:pPr>
    <w:tblPr>
      <w:tblStyleRowBandSize w:val="1"/>
      <w:tblStyleColBandSize w:val="1"/>
      <w:tblInd w:w="0" w:type="dxa"/>
      <w:tblBorders>
        <w:top w:val="single" w:sz="4" w:space="0" w:color="EAEAEA"/>
        <w:bottom w:val="single" w:sz="4" w:space="0" w:color="EAEAEA"/>
      </w:tblBorders>
      <w:tblCellMar>
        <w:top w:w="0" w:type="dxa"/>
        <w:left w:w="108" w:type="dxa"/>
        <w:bottom w:w="0" w:type="dxa"/>
        <w:right w:w="108" w:type="dxa"/>
      </w:tblCellMar>
    </w:tblPr>
    <w:tblStylePr w:type="firstRow">
      <w:rPr>
        <w:b/>
        <w:bCs/>
      </w:rPr>
      <w:tblPr/>
      <w:tcPr>
        <w:tcBorders>
          <w:top w:val="single" w:sz="4" w:space="0" w:color="004846"/>
          <w:bottom w:val="nil"/>
        </w:tcBorders>
      </w:tcPr>
    </w:tblStylePr>
    <w:tblStylePr w:type="lastRow">
      <w:rPr>
        <w:b/>
        <w:bCs/>
      </w:rPr>
      <w:tblPr/>
      <w:tcPr>
        <w:tcBorders>
          <w:top w:val="single" w:sz="4" w:space="0" w:color="004846"/>
          <w:bottom w:val="single" w:sz="4" w:space="0" w:color="004846"/>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05C4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05C4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6Colorful">
    <w:name w:val="List Table 6 Colorful"/>
    <w:basedOn w:val="TableNormal"/>
    <w:uiPriority w:val="51"/>
    <w:rsid w:val="007B008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A6627C"/>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rsid w:val="009F0970"/>
    <w:pPr>
      <w:spacing w:after="0" w:line="240" w:lineRule="auto"/>
    </w:pPr>
    <w:tblPr>
      <w:tblStyleRowBandSize w:val="1"/>
      <w:tblStyleColBandSize w:val="1"/>
      <w:tblInd w:w="0" w:type="dxa"/>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CellMar>
        <w:top w:w="0" w:type="dxa"/>
        <w:left w:w="108" w:type="dxa"/>
        <w:bottom w:w="0" w:type="dxa"/>
        <w:right w:w="108" w:type="dxa"/>
      </w:tblCellMar>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Accent5">
    <w:name w:val="Grid Table 3 Accent 5"/>
    <w:basedOn w:val="TableNormal"/>
    <w:uiPriority w:val="48"/>
    <w:rsid w:val="009F0970"/>
    <w:pPr>
      <w:spacing w:after="0" w:line="240" w:lineRule="auto"/>
    </w:pPr>
    <w:tblPr>
      <w:tblStyleRowBandSize w:val="1"/>
      <w:tblStyleColBandSize w:val="1"/>
      <w:tblInd w:w="0" w:type="dxa"/>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6197">
      <w:bodyDiv w:val="1"/>
      <w:marLeft w:val="0"/>
      <w:marRight w:val="0"/>
      <w:marTop w:val="0"/>
      <w:marBottom w:val="0"/>
      <w:divBdr>
        <w:top w:val="none" w:sz="0" w:space="0" w:color="auto"/>
        <w:left w:val="none" w:sz="0" w:space="0" w:color="auto"/>
        <w:bottom w:val="none" w:sz="0" w:space="0" w:color="auto"/>
        <w:right w:val="none" w:sz="0" w:space="0" w:color="auto"/>
      </w:divBdr>
    </w:div>
    <w:div w:id="19361219">
      <w:bodyDiv w:val="1"/>
      <w:marLeft w:val="0"/>
      <w:marRight w:val="0"/>
      <w:marTop w:val="0"/>
      <w:marBottom w:val="0"/>
      <w:divBdr>
        <w:top w:val="none" w:sz="0" w:space="0" w:color="auto"/>
        <w:left w:val="none" w:sz="0" w:space="0" w:color="auto"/>
        <w:bottom w:val="none" w:sz="0" w:space="0" w:color="auto"/>
        <w:right w:val="none" w:sz="0" w:space="0" w:color="auto"/>
      </w:divBdr>
    </w:div>
    <w:div w:id="129520680">
      <w:bodyDiv w:val="1"/>
      <w:marLeft w:val="0"/>
      <w:marRight w:val="0"/>
      <w:marTop w:val="0"/>
      <w:marBottom w:val="0"/>
      <w:divBdr>
        <w:top w:val="none" w:sz="0" w:space="0" w:color="auto"/>
        <w:left w:val="none" w:sz="0" w:space="0" w:color="auto"/>
        <w:bottom w:val="none" w:sz="0" w:space="0" w:color="auto"/>
        <w:right w:val="none" w:sz="0" w:space="0" w:color="auto"/>
      </w:divBdr>
    </w:div>
    <w:div w:id="143668701">
      <w:bodyDiv w:val="1"/>
      <w:marLeft w:val="0"/>
      <w:marRight w:val="0"/>
      <w:marTop w:val="0"/>
      <w:marBottom w:val="0"/>
      <w:divBdr>
        <w:top w:val="none" w:sz="0" w:space="0" w:color="auto"/>
        <w:left w:val="none" w:sz="0" w:space="0" w:color="auto"/>
        <w:bottom w:val="none" w:sz="0" w:space="0" w:color="auto"/>
        <w:right w:val="none" w:sz="0" w:space="0" w:color="auto"/>
      </w:divBdr>
    </w:div>
    <w:div w:id="149058619">
      <w:bodyDiv w:val="1"/>
      <w:marLeft w:val="0"/>
      <w:marRight w:val="0"/>
      <w:marTop w:val="0"/>
      <w:marBottom w:val="0"/>
      <w:divBdr>
        <w:top w:val="none" w:sz="0" w:space="0" w:color="auto"/>
        <w:left w:val="none" w:sz="0" w:space="0" w:color="auto"/>
        <w:bottom w:val="none" w:sz="0" w:space="0" w:color="auto"/>
        <w:right w:val="none" w:sz="0" w:space="0" w:color="auto"/>
      </w:divBdr>
      <w:divsChild>
        <w:div w:id="467554083">
          <w:marLeft w:val="0"/>
          <w:marRight w:val="0"/>
          <w:marTop w:val="0"/>
          <w:marBottom w:val="0"/>
          <w:divBdr>
            <w:top w:val="none" w:sz="0" w:space="0" w:color="auto"/>
            <w:left w:val="none" w:sz="0" w:space="0" w:color="auto"/>
            <w:bottom w:val="none" w:sz="0" w:space="0" w:color="auto"/>
            <w:right w:val="none" w:sz="0" w:space="0" w:color="auto"/>
          </w:divBdr>
          <w:divsChild>
            <w:div w:id="1375739450">
              <w:marLeft w:val="0"/>
              <w:marRight w:val="0"/>
              <w:marTop w:val="0"/>
              <w:marBottom w:val="0"/>
              <w:divBdr>
                <w:top w:val="none" w:sz="0" w:space="0" w:color="auto"/>
                <w:left w:val="none" w:sz="0" w:space="0" w:color="auto"/>
                <w:bottom w:val="none" w:sz="0" w:space="0" w:color="auto"/>
                <w:right w:val="none" w:sz="0" w:space="0" w:color="auto"/>
              </w:divBdr>
              <w:divsChild>
                <w:div w:id="1309477080">
                  <w:marLeft w:val="0"/>
                  <w:marRight w:val="0"/>
                  <w:marTop w:val="0"/>
                  <w:marBottom w:val="0"/>
                  <w:divBdr>
                    <w:top w:val="none" w:sz="0" w:space="0" w:color="auto"/>
                    <w:left w:val="none" w:sz="0" w:space="0" w:color="auto"/>
                    <w:bottom w:val="none" w:sz="0" w:space="0" w:color="auto"/>
                    <w:right w:val="none" w:sz="0" w:space="0" w:color="auto"/>
                  </w:divBdr>
                  <w:divsChild>
                    <w:div w:id="1079249562">
                      <w:marLeft w:val="0"/>
                      <w:marRight w:val="0"/>
                      <w:marTop w:val="0"/>
                      <w:marBottom w:val="0"/>
                      <w:divBdr>
                        <w:top w:val="none" w:sz="0" w:space="0" w:color="auto"/>
                        <w:left w:val="none" w:sz="0" w:space="0" w:color="auto"/>
                        <w:bottom w:val="none" w:sz="0" w:space="0" w:color="auto"/>
                        <w:right w:val="none" w:sz="0" w:space="0" w:color="auto"/>
                      </w:divBdr>
                      <w:divsChild>
                        <w:div w:id="1556620699">
                          <w:marLeft w:val="0"/>
                          <w:marRight w:val="0"/>
                          <w:marTop w:val="0"/>
                          <w:marBottom w:val="0"/>
                          <w:divBdr>
                            <w:top w:val="none" w:sz="0" w:space="0" w:color="auto"/>
                            <w:left w:val="none" w:sz="0" w:space="0" w:color="auto"/>
                            <w:bottom w:val="none" w:sz="0" w:space="0" w:color="auto"/>
                            <w:right w:val="none" w:sz="0" w:space="0" w:color="auto"/>
                          </w:divBdr>
                          <w:divsChild>
                            <w:div w:id="1250307091">
                              <w:marLeft w:val="0"/>
                              <w:marRight w:val="0"/>
                              <w:marTop w:val="0"/>
                              <w:marBottom w:val="0"/>
                              <w:divBdr>
                                <w:top w:val="none" w:sz="0" w:space="0" w:color="auto"/>
                                <w:left w:val="none" w:sz="0" w:space="0" w:color="auto"/>
                                <w:bottom w:val="none" w:sz="0" w:space="0" w:color="auto"/>
                                <w:right w:val="none" w:sz="0" w:space="0" w:color="auto"/>
                              </w:divBdr>
                              <w:divsChild>
                                <w:div w:id="151434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739611">
                          <w:marLeft w:val="0"/>
                          <w:marRight w:val="0"/>
                          <w:marTop w:val="0"/>
                          <w:marBottom w:val="0"/>
                          <w:divBdr>
                            <w:top w:val="none" w:sz="0" w:space="0" w:color="auto"/>
                            <w:left w:val="none" w:sz="0" w:space="0" w:color="auto"/>
                            <w:bottom w:val="none" w:sz="0" w:space="0" w:color="auto"/>
                            <w:right w:val="none" w:sz="0" w:space="0" w:color="auto"/>
                          </w:divBdr>
                          <w:divsChild>
                            <w:div w:id="1306010566">
                              <w:marLeft w:val="0"/>
                              <w:marRight w:val="0"/>
                              <w:marTop w:val="0"/>
                              <w:marBottom w:val="0"/>
                              <w:divBdr>
                                <w:top w:val="none" w:sz="0" w:space="0" w:color="auto"/>
                                <w:left w:val="none" w:sz="0" w:space="0" w:color="auto"/>
                                <w:bottom w:val="none" w:sz="0" w:space="0" w:color="auto"/>
                                <w:right w:val="none" w:sz="0" w:space="0" w:color="auto"/>
                              </w:divBdr>
                              <w:divsChild>
                                <w:div w:id="983315542">
                                  <w:marLeft w:val="0"/>
                                  <w:marRight w:val="0"/>
                                  <w:marTop w:val="0"/>
                                  <w:marBottom w:val="0"/>
                                  <w:divBdr>
                                    <w:top w:val="none" w:sz="0" w:space="0" w:color="auto"/>
                                    <w:left w:val="none" w:sz="0" w:space="0" w:color="auto"/>
                                    <w:bottom w:val="none" w:sz="0" w:space="0" w:color="auto"/>
                                    <w:right w:val="none" w:sz="0" w:space="0" w:color="auto"/>
                                  </w:divBdr>
                                  <w:divsChild>
                                    <w:div w:id="184601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54499">
      <w:bodyDiv w:val="1"/>
      <w:marLeft w:val="0"/>
      <w:marRight w:val="0"/>
      <w:marTop w:val="0"/>
      <w:marBottom w:val="0"/>
      <w:divBdr>
        <w:top w:val="none" w:sz="0" w:space="0" w:color="auto"/>
        <w:left w:val="none" w:sz="0" w:space="0" w:color="auto"/>
        <w:bottom w:val="none" w:sz="0" w:space="0" w:color="auto"/>
        <w:right w:val="none" w:sz="0" w:space="0" w:color="auto"/>
      </w:divBdr>
    </w:div>
    <w:div w:id="219757646">
      <w:bodyDiv w:val="1"/>
      <w:marLeft w:val="0"/>
      <w:marRight w:val="0"/>
      <w:marTop w:val="0"/>
      <w:marBottom w:val="0"/>
      <w:divBdr>
        <w:top w:val="none" w:sz="0" w:space="0" w:color="auto"/>
        <w:left w:val="none" w:sz="0" w:space="0" w:color="auto"/>
        <w:bottom w:val="none" w:sz="0" w:space="0" w:color="auto"/>
        <w:right w:val="none" w:sz="0" w:space="0" w:color="auto"/>
      </w:divBdr>
    </w:div>
    <w:div w:id="248925042">
      <w:bodyDiv w:val="1"/>
      <w:marLeft w:val="0"/>
      <w:marRight w:val="0"/>
      <w:marTop w:val="0"/>
      <w:marBottom w:val="0"/>
      <w:divBdr>
        <w:top w:val="none" w:sz="0" w:space="0" w:color="auto"/>
        <w:left w:val="none" w:sz="0" w:space="0" w:color="auto"/>
        <w:bottom w:val="none" w:sz="0" w:space="0" w:color="auto"/>
        <w:right w:val="none" w:sz="0" w:space="0" w:color="auto"/>
      </w:divBdr>
      <w:divsChild>
        <w:div w:id="1608468479">
          <w:marLeft w:val="0"/>
          <w:marRight w:val="0"/>
          <w:marTop w:val="0"/>
          <w:marBottom w:val="0"/>
          <w:divBdr>
            <w:top w:val="none" w:sz="0" w:space="0" w:color="auto"/>
            <w:left w:val="none" w:sz="0" w:space="0" w:color="auto"/>
            <w:bottom w:val="none" w:sz="0" w:space="0" w:color="auto"/>
            <w:right w:val="none" w:sz="0" w:space="0" w:color="auto"/>
          </w:divBdr>
          <w:divsChild>
            <w:div w:id="533425392">
              <w:marLeft w:val="0"/>
              <w:marRight w:val="0"/>
              <w:marTop w:val="0"/>
              <w:marBottom w:val="0"/>
              <w:divBdr>
                <w:top w:val="none" w:sz="0" w:space="0" w:color="auto"/>
                <w:left w:val="none" w:sz="0" w:space="0" w:color="auto"/>
                <w:bottom w:val="none" w:sz="0" w:space="0" w:color="auto"/>
                <w:right w:val="none" w:sz="0" w:space="0" w:color="auto"/>
              </w:divBdr>
              <w:divsChild>
                <w:div w:id="738409063">
                  <w:marLeft w:val="0"/>
                  <w:marRight w:val="0"/>
                  <w:marTop w:val="0"/>
                  <w:marBottom w:val="0"/>
                  <w:divBdr>
                    <w:top w:val="none" w:sz="0" w:space="0" w:color="auto"/>
                    <w:left w:val="none" w:sz="0" w:space="0" w:color="auto"/>
                    <w:bottom w:val="none" w:sz="0" w:space="0" w:color="auto"/>
                    <w:right w:val="none" w:sz="0" w:space="0" w:color="auto"/>
                  </w:divBdr>
                  <w:divsChild>
                    <w:div w:id="583690038">
                      <w:marLeft w:val="0"/>
                      <w:marRight w:val="0"/>
                      <w:marTop w:val="0"/>
                      <w:marBottom w:val="0"/>
                      <w:divBdr>
                        <w:top w:val="none" w:sz="0" w:space="0" w:color="auto"/>
                        <w:left w:val="none" w:sz="0" w:space="0" w:color="auto"/>
                        <w:bottom w:val="none" w:sz="0" w:space="0" w:color="auto"/>
                        <w:right w:val="none" w:sz="0" w:space="0" w:color="auto"/>
                      </w:divBdr>
                      <w:divsChild>
                        <w:div w:id="255014910">
                          <w:marLeft w:val="0"/>
                          <w:marRight w:val="0"/>
                          <w:marTop w:val="0"/>
                          <w:marBottom w:val="0"/>
                          <w:divBdr>
                            <w:top w:val="none" w:sz="0" w:space="0" w:color="auto"/>
                            <w:left w:val="none" w:sz="0" w:space="0" w:color="auto"/>
                            <w:bottom w:val="none" w:sz="0" w:space="0" w:color="auto"/>
                            <w:right w:val="none" w:sz="0" w:space="0" w:color="auto"/>
                          </w:divBdr>
                          <w:divsChild>
                            <w:div w:id="1841120388">
                              <w:marLeft w:val="0"/>
                              <w:marRight w:val="0"/>
                              <w:marTop w:val="0"/>
                              <w:marBottom w:val="0"/>
                              <w:divBdr>
                                <w:top w:val="none" w:sz="0" w:space="0" w:color="auto"/>
                                <w:left w:val="none" w:sz="0" w:space="0" w:color="auto"/>
                                <w:bottom w:val="none" w:sz="0" w:space="0" w:color="auto"/>
                                <w:right w:val="none" w:sz="0" w:space="0" w:color="auto"/>
                              </w:divBdr>
                              <w:divsChild>
                                <w:div w:id="132640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9827">
                          <w:marLeft w:val="0"/>
                          <w:marRight w:val="0"/>
                          <w:marTop w:val="0"/>
                          <w:marBottom w:val="0"/>
                          <w:divBdr>
                            <w:top w:val="none" w:sz="0" w:space="0" w:color="auto"/>
                            <w:left w:val="none" w:sz="0" w:space="0" w:color="auto"/>
                            <w:bottom w:val="none" w:sz="0" w:space="0" w:color="auto"/>
                            <w:right w:val="none" w:sz="0" w:space="0" w:color="auto"/>
                          </w:divBdr>
                          <w:divsChild>
                            <w:div w:id="1418208225">
                              <w:marLeft w:val="0"/>
                              <w:marRight w:val="0"/>
                              <w:marTop w:val="0"/>
                              <w:marBottom w:val="0"/>
                              <w:divBdr>
                                <w:top w:val="none" w:sz="0" w:space="0" w:color="auto"/>
                                <w:left w:val="none" w:sz="0" w:space="0" w:color="auto"/>
                                <w:bottom w:val="none" w:sz="0" w:space="0" w:color="auto"/>
                                <w:right w:val="none" w:sz="0" w:space="0" w:color="auto"/>
                              </w:divBdr>
                              <w:divsChild>
                                <w:div w:id="1063870790">
                                  <w:marLeft w:val="0"/>
                                  <w:marRight w:val="0"/>
                                  <w:marTop w:val="0"/>
                                  <w:marBottom w:val="0"/>
                                  <w:divBdr>
                                    <w:top w:val="none" w:sz="0" w:space="0" w:color="auto"/>
                                    <w:left w:val="none" w:sz="0" w:space="0" w:color="auto"/>
                                    <w:bottom w:val="none" w:sz="0" w:space="0" w:color="auto"/>
                                    <w:right w:val="none" w:sz="0" w:space="0" w:color="auto"/>
                                  </w:divBdr>
                                  <w:divsChild>
                                    <w:div w:id="143316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2031581">
      <w:bodyDiv w:val="1"/>
      <w:marLeft w:val="0"/>
      <w:marRight w:val="0"/>
      <w:marTop w:val="0"/>
      <w:marBottom w:val="0"/>
      <w:divBdr>
        <w:top w:val="none" w:sz="0" w:space="0" w:color="auto"/>
        <w:left w:val="none" w:sz="0" w:space="0" w:color="auto"/>
        <w:bottom w:val="none" w:sz="0" w:space="0" w:color="auto"/>
        <w:right w:val="none" w:sz="0" w:space="0" w:color="auto"/>
      </w:divBdr>
      <w:divsChild>
        <w:div w:id="984624138">
          <w:marLeft w:val="0"/>
          <w:marRight w:val="0"/>
          <w:marTop w:val="0"/>
          <w:marBottom w:val="0"/>
          <w:divBdr>
            <w:top w:val="none" w:sz="0" w:space="0" w:color="auto"/>
            <w:left w:val="none" w:sz="0" w:space="0" w:color="auto"/>
            <w:bottom w:val="none" w:sz="0" w:space="0" w:color="auto"/>
            <w:right w:val="none" w:sz="0" w:space="0" w:color="auto"/>
          </w:divBdr>
          <w:divsChild>
            <w:div w:id="854658868">
              <w:marLeft w:val="0"/>
              <w:marRight w:val="0"/>
              <w:marTop w:val="0"/>
              <w:marBottom w:val="0"/>
              <w:divBdr>
                <w:top w:val="none" w:sz="0" w:space="0" w:color="auto"/>
                <w:left w:val="none" w:sz="0" w:space="0" w:color="auto"/>
                <w:bottom w:val="none" w:sz="0" w:space="0" w:color="auto"/>
                <w:right w:val="none" w:sz="0" w:space="0" w:color="auto"/>
              </w:divBdr>
              <w:divsChild>
                <w:div w:id="1749763021">
                  <w:marLeft w:val="0"/>
                  <w:marRight w:val="0"/>
                  <w:marTop w:val="0"/>
                  <w:marBottom w:val="0"/>
                  <w:divBdr>
                    <w:top w:val="none" w:sz="0" w:space="0" w:color="auto"/>
                    <w:left w:val="none" w:sz="0" w:space="0" w:color="auto"/>
                    <w:bottom w:val="none" w:sz="0" w:space="0" w:color="auto"/>
                    <w:right w:val="none" w:sz="0" w:space="0" w:color="auto"/>
                  </w:divBdr>
                  <w:divsChild>
                    <w:div w:id="870611429">
                      <w:marLeft w:val="0"/>
                      <w:marRight w:val="0"/>
                      <w:marTop w:val="0"/>
                      <w:marBottom w:val="0"/>
                      <w:divBdr>
                        <w:top w:val="none" w:sz="0" w:space="0" w:color="auto"/>
                        <w:left w:val="none" w:sz="0" w:space="0" w:color="auto"/>
                        <w:bottom w:val="none" w:sz="0" w:space="0" w:color="auto"/>
                        <w:right w:val="none" w:sz="0" w:space="0" w:color="auto"/>
                      </w:divBdr>
                      <w:divsChild>
                        <w:div w:id="1718121488">
                          <w:marLeft w:val="0"/>
                          <w:marRight w:val="0"/>
                          <w:marTop w:val="0"/>
                          <w:marBottom w:val="0"/>
                          <w:divBdr>
                            <w:top w:val="none" w:sz="0" w:space="0" w:color="auto"/>
                            <w:left w:val="none" w:sz="0" w:space="0" w:color="auto"/>
                            <w:bottom w:val="none" w:sz="0" w:space="0" w:color="auto"/>
                            <w:right w:val="none" w:sz="0" w:space="0" w:color="auto"/>
                          </w:divBdr>
                          <w:divsChild>
                            <w:div w:id="1774326354">
                              <w:marLeft w:val="0"/>
                              <w:marRight w:val="0"/>
                              <w:marTop w:val="0"/>
                              <w:marBottom w:val="0"/>
                              <w:divBdr>
                                <w:top w:val="none" w:sz="0" w:space="0" w:color="auto"/>
                                <w:left w:val="none" w:sz="0" w:space="0" w:color="auto"/>
                                <w:bottom w:val="none" w:sz="0" w:space="0" w:color="auto"/>
                                <w:right w:val="none" w:sz="0" w:space="0" w:color="auto"/>
                              </w:divBdr>
                              <w:divsChild>
                                <w:div w:id="1488013974">
                                  <w:marLeft w:val="0"/>
                                  <w:marRight w:val="0"/>
                                  <w:marTop w:val="0"/>
                                  <w:marBottom w:val="0"/>
                                  <w:divBdr>
                                    <w:top w:val="none" w:sz="0" w:space="0" w:color="auto"/>
                                    <w:left w:val="none" w:sz="0" w:space="0" w:color="auto"/>
                                    <w:bottom w:val="none" w:sz="0" w:space="0" w:color="auto"/>
                                    <w:right w:val="none" w:sz="0" w:space="0" w:color="auto"/>
                                  </w:divBdr>
                                  <w:divsChild>
                                    <w:div w:id="39454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654781">
      <w:bodyDiv w:val="1"/>
      <w:marLeft w:val="0"/>
      <w:marRight w:val="0"/>
      <w:marTop w:val="0"/>
      <w:marBottom w:val="0"/>
      <w:divBdr>
        <w:top w:val="none" w:sz="0" w:space="0" w:color="auto"/>
        <w:left w:val="none" w:sz="0" w:space="0" w:color="auto"/>
        <w:bottom w:val="none" w:sz="0" w:space="0" w:color="auto"/>
        <w:right w:val="none" w:sz="0" w:space="0" w:color="auto"/>
      </w:divBdr>
      <w:divsChild>
        <w:div w:id="250509351">
          <w:marLeft w:val="0"/>
          <w:marRight w:val="0"/>
          <w:marTop w:val="0"/>
          <w:marBottom w:val="0"/>
          <w:divBdr>
            <w:top w:val="none" w:sz="0" w:space="0" w:color="auto"/>
            <w:left w:val="none" w:sz="0" w:space="0" w:color="auto"/>
            <w:bottom w:val="none" w:sz="0" w:space="0" w:color="auto"/>
            <w:right w:val="none" w:sz="0" w:space="0" w:color="auto"/>
          </w:divBdr>
          <w:divsChild>
            <w:div w:id="1652909714">
              <w:marLeft w:val="0"/>
              <w:marRight w:val="0"/>
              <w:marTop w:val="0"/>
              <w:marBottom w:val="0"/>
              <w:divBdr>
                <w:top w:val="none" w:sz="0" w:space="0" w:color="auto"/>
                <w:left w:val="none" w:sz="0" w:space="0" w:color="auto"/>
                <w:bottom w:val="none" w:sz="0" w:space="0" w:color="auto"/>
                <w:right w:val="none" w:sz="0" w:space="0" w:color="auto"/>
              </w:divBdr>
              <w:divsChild>
                <w:div w:id="162550285">
                  <w:marLeft w:val="0"/>
                  <w:marRight w:val="0"/>
                  <w:marTop w:val="0"/>
                  <w:marBottom w:val="0"/>
                  <w:divBdr>
                    <w:top w:val="none" w:sz="0" w:space="0" w:color="auto"/>
                    <w:left w:val="none" w:sz="0" w:space="0" w:color="auto"/>
                    <w:bottom w:val="none" w:sz="0" w:space="0" w:color="auto"/>
                    <w:right w:val="none" w:sz="0" w:space="0" w:color="auto"/>
                  </w:divBdr>
                  <w:divsChild>
                    <w:div w:id="809177029">
                      <w:marLeft w:val="0"/>
                      <w:marRight w:val="0"/>
                      <w:marTop w:val="0"/>
                      <w:marBottom w:val="0"/>
                      <w:divBdr>
                        <w:top w:val="none" w:sz="0" w:space="0" w:color="auto"/>
                        <w:left w:val="none" w:sz="0" w:space="0" w:color="auto"/>
                        <w:bottom w:val="none" w:sz="0" w:space="0" w:color="auto"/>
                        <w:right w:val="none" w:sz="0" w:space="0" w:color="auto"/>
                      </w:divBdr>
                      <w:divsChild>
                        <w:div w:id="1457871101">
                          <w:marLeft w:val="0"/>
                          <w:marRight w:val="0"/>
                          <w:marTop w:val="0"/>
                          <w:marBottom w:val="0"/>
                          <w:divBdr>
                            <w:top w:val="none" w:sz="0" w:space="0" w:color="auto"/>
                            <w:left w:val="none" w:sz="0" w:space="0" w:color="auto"/>
                            <w:bottom w:val="none" w:sz="0" w:space="0" w:color="auto"/>
                            <w:right w:val="none" w:sz="0" w:space="0" w:color="auto"/>
                          </w:divBdr>
                          <w:divsChild>
                            <w:div w:id="1758096554">
                              <w:marLeft w:val="0"/>
                              <w:marRight w:val="0"/>
                              <w:marTop w:val="0"/>
                              <w:marBottom w:val="0"/>
                              <w:divBdr>
                                <w:top w:val="none" w:sz="0" w:space="0" w:color="auto"/>
                                <w:left w:val="none" w:sz="0" w:space="0" w:color="auto"/>
                                <w:bottom w:val="none" w:sz="0" w:space="0" w:color="auto"/>
                                <w:right w:val="none" w:sz="0" w:space="0" w:color="auto"/>
                              </w:divBdr>
                              <w:divsChild>
                                <w:div w:id="928973486">
                                  <w:marLeft w:val="0"/>
                                  <w:marRight w:val="0"/>
                                  <w:marTop w:val="0"/>
                                  <w:marBottom w:val="0"/>
                                  <w:divBdr>
                                    <w:top w:val="none" w:sz="0" w:space="0" w:color="auto"/>
                                    <w:left w:val="none" w:sz="0" w:space="0" w:color="auto"/>
                                    <w:bottom w:val="none" w:sz="0" w:space="0" w:color="auto"/>
                                    <w:right w:val="none" w:sz="0" w:space="0" w:color="auto"/>
                                  </w:divBdr>
                                  <w:divsChild>
                                    <w:div w:id="1384017339">
                                      <w:marLeft w:val="0"/>
                                      <w:marRight w:val="0"/>
                                      <w:marTop w:val="0"/>
                                      <w:marBottom w:val="0"/>
                                      <w:divBdr>
                                        <w:top w:val="none" w:sz="0" w:space="0" w:color="auto"/>
                                        <w:left w:val="none" w:sz="0" w:space="0" w:color="auto"/>
                                        <w:bottom w:val="none" w:sz="0" w:space="0" w:color="auto"/>
                                        <w:right w:val="none" w:sz="0" w:space="0" w:color="auto"/>
                                      </w:divBdr>
                                      <w:divsChild>
                                        <w:div w:id="78521675">
                                          <w:marLeft w:val="0"/>
                                          <w:marRight w:val="0"/>
                                          <w:marTop w:val="0"/>
                                          <w:marBottom w:val="0"/>
                                          <w:divBdr>
                                            <w:top w:val="none" w:sz="0" w:space="0" w:color="auto"/>
                                            <w:left w:val="none" w:sz="0" w:space="0" w:color="auto"/>
                                            <w:bottom w:val="none" w:sz="0" w:space="0" w:color="auto"/>
                                            <w:right w:val="none" w:sz="0" w:space="0" w:color="auto"/>
                                          </w:divBdr>
                                        </w:div>
                                        <w:div w:id="308871481">
                                          <w:marLeft w:val="0"/>
                                          <w:marRight w:val="0"/>
                                          <w:marTop w:val="0"/>
                                          <w:marBottom w:val="0"/>
                                          <w:divBdr>
                                            <w:top w:val="none" w:sz="0" w:space="0" w:color="auto"/>
                                            <w:left w:val="none" w:sz="0" w:space="0" w:color="auto"/>
                                            <w:bottom w:val="none" w:sz="0" w:space="0" w:color="auto"/>
                                            <w:right w:val="none" w:sz="0" w:space="0" w:color="auto"/>
                                          </w:divBdr>
                                        </w:div>
                                        <w:div w:id="874855161">
                                          <w:marLeft w:val="0"/>
                                          <w:marRight w:val="0"/>
                                          <w:marTop w:val="0"/>
                                          <w:marBottom w:val="0"/>
                                          <w:divBdr>
                                            <w:top w:val="none" w:sz="0" w:space="0" w:color="auto"/>
                                            <w:left w:val="none" w:sz="0" w:space="0" w:color="auto"/>
                                            <w:bottom w:val="none" w:sz="0" w:space="0" w:color="auto"/>
                                            <w:right w:val="none" w:sz="0" w:space="0" w:color="auto"/>
                                          </w:divBdr>
                                        </w:div>
                                        <w:div w:id="981234602">
                                          <w:marLeft w:val="0"/>
                                          <w:marRight w:val="0"/>
                                          <w:marTop w:val="0"/>
                                          <w:marBottom w:val="0"/>
                                          <w:divBdr>
                                            <w:top w:val="none" w:sz="0" w:space="0" w:color="auto"/>
                                            <w:left w:val="none" w:sz="0" w:space="0" w:color="auto"/>
                                            <w:bottom w:val="none" w:sz="0" w:space="0" w:color="auto"/>
                                            <w:right w:val="none" w:sz="0" w:space="0" w:color="auto"/>
                                          </w:divBdr>
                                        </w:div>
                                        <w:div w:id="17500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197310">
                          <w:marLeft w:val="0"/>
                          <w:marRight w:val="0"/>
                          <w:marTop w:val="0"/>
                          <w:marBottom w:val="0"/>
                          <w:divBdr>
                            <w:top w:val="none" w:sz="0" w:space="0" w:color="auto"/>
                            <w:left w:val="none" w:sz="0" w:space="0" w:color="auto"/>
                            <w:bottom w:val="none" w:sz="0" w:space="0" w:color="auto"/>
                            <w:right w:val="none" w:sz="0" w:space="0" w:color="auto"/>
                          </w:divBdr>
                          <w:divsChild>
                            <w:div w:id="65491854">
                              <w:marLeft w:val="0"/>
                              <w:marRight w:val="0"/>
                              <w:marTop w:val="0"/>
                              <w:marBottom w:val="0"/>
                              <w:divBdr>
                                <w:top w:val="none" w:sz="0" w:space="0" w:color="auto"/>
                                <w:left w:val="none" w:sz="0" w:space="0" w:color="auto"/>
                                <w:bottom w:val="none" w:sz="0" w:space="0" w:color="auto"/>
                                <w:right w:val="none" w:sz="0" w:space="0" w:color="auto"/>
                              </w:divBdr>
                              <w:divsChild>
                                <w:div w:id="21242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232854">
      <w:bodyDiv w:val="1"/>
      <w:marLeft w:val="0"/>
      <w:marRight w:val="0"/>
      <w:marTop w:val="0"/>
      <w:marBottom w:val="0"/>
      <w:divBdr>
        <w:top w:val="none" w:sz="0" w:space="0" w:color="auto"/>
        <w:left w:val="none" w:sz="0" w:space="0" w:color="auto"/>
        <w:bottom w:val="none" w:sz="0" w:space="0" w:color="auto"/>
        <w:right w:val="none" w:sz="0" w:space="0" w:color="auto"/>
      </w:divBdr>
      <w:divsChild>
        <w:div w:id="1236360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5390471">
      <w:bodyDiv w:val="1"/>
      <w:marLeft w:val="0"/>
      <w:marRight w:val="0"/>
      <w:marTop w:val="0"/>
      <w:marBottom w:val="0"/>
      <w:divBdr>
        <w:top w:val="none" w:sz="0" w:space="0" w:color="auto"/>
        <w:left w:val="none" w:sz="0" w:space="0" w:color="auto"/>
        <w:bottom w:val="none" w:sz="0" w:space="0" w:color="auto"/>
        <w:right w:val="none" w:sz="0" w:space="0" w:color="auto"/>
      </w:divBdr>
    </w:div>
    <w:div w:id="455947118">
      <w:bodyDiv w:val="1"/>
      <w:marLeft w:val="0"/>
      <w:marRight w:val="0"/>
      <w:marTop w:val="0"/>
      <w:marBottom w:val="0"/>
      <w:divBdr>
        <w:top w:val="none" w:sz="0" w:space="0" w:color="auto"/>
        <w:left w:val="none" w:sz="0" w:space="0" w:color="auto"/>
        <w:bottom w:val="none" w:sz="0" w:space="0" w:color="auto"/>
        <w:right w:val="none" w:sz="0" w:space="0" w:color="auto"/>
      </w:divBdr>
    </w:div>
    <w:div w:id="468940335">
      <w:bodyDiv w:val="1"/>
      <w:marLeft w:val="0"/>
      <w:marRight w:val="0"/>
      <w:marTop w:val="0"/>
      <w:marBottom w:val="0"/>
      <w:divBdr>
        <w:top w:val="none" w:sz="0" w:space="0" w:color="auto"/>
        <w:left w:val="none" w:sz="0" w:space="0" w:color="auto"/>
        <w:bottom w:val="none" w:sz="0" w:space="0" w:color="auto"/>
        <w:right w:val="none" w:sz="0" w:space="0" w:color="auto"/>
      </w:divBdr>
      <w:divsChild>
        <w:div w:id="636229237">
          <w:marLeft w:val="0"/>
          <w:marRight w:val="0"/>
          <w:marTop w:val="0"/>
          <w:marBottom w:val="0"/>
          <w:divBdr>
            <w:top w:val="none" w:sz="0" w:space="0" w:color="auto"/>
            <w:left w:val="none" w:sz="0" w:space="0" w:color="auto"/>
            <w:bottom w:val="none" w:sz="0" w:space="0" w:color="auto"/>
            <w:right w:val="none" w:sz="0" w:space="0" w:color="auto"/>
          </w:divBdr>
          <w:divsChild>
            <w:div w:id="907307563">
              <w:marLeft w:val="0"/>
              <w:marRight w:val="0"/>
              <w:marTop w:val="0"/>
              <w:marBottom w:val="0"/>
              <w:divBdr>
                <w:top w:val="none" w:sz="0" w:space="0" w:color="auto"/>
                <w:left w:val="none" w:sz="0" w:space="0" w:color="auto"/>
                <w:bottom w:val="none" w:sz="0" w:space="0" w:color="auto"/>
                <w:right w:val="none" w:sz="0" w:space="0" w:color="auto"/>
              </w:divBdr>
              <w:divsChild>
                <w:div w:id="515507378">
                  <w:marLeft w:val="0"/>
                  <w:marRight w:val="0"/>
                  <w:marTop w:val="0"/>
                  <w:marBottom w:val="0"/>
                  <w:divBdr>
                    <w:top w:val="none" w:sz="0" w:space="0" w:color="auto"/>
                    <w:left w:val="none" w:sz="0" w:space="0" w:color="auto"/>
                    <w:bottom w:val="none" w:sz="0" w:space="0" w:color="auto"/>
                    <w:right w:val="none" w:sz="0" w:space="0" w:color="auto"/>
                  </w:divBdr>
                  <w:divsChild>
                    <w:div w:id="697632249">
                      <w:marLeft w:val="0"/>
                      <w:marRight w:val="0"/>
                      <w:marTop w:val="0"/>
                      <w:marBottom w:val="0"/>
                      <w:divBdr>
                        <w:top w:val="none" w:sz="0" w:space="0" w:color="auto"/>
                        <w:left w:val="none" w:sz="0" w:space="0" w:color="auto"/>
                        <w:bottom w:val="none" w:sz="0" w:space="0" w:color="auto"/>
                        <w:right w:val="none" w:sz="0" w:space="0" w:color="auto"/>
                      </w:divBdr>
                      <w:divsChild>
                        <w:div w:id="181087733">
                          <w:marLeft w:val="0"/>
                          <w:marRight w:val="0"/>
                          <w:marTop w:val="0"/>
                          <w:marBottom w:val="0"/>
                          <w:divBdr>
                            <w:top w:val="none" w:sz="0" w:space="0" w:color="auto"/>
                            <w:left w:val="none" w:sz="0" w:space="0" w:color="auto"/>
                            <w:bottom w:val="none" w:sz="0" w:space="0" w:color="auto"/>
                            <w:right w:val="none" w:sz="0" w:space="0" w:color="auto"/>
                          </w:divBdr>
                          <w:divsChild>
                            <w:div w:id="475220620">
                              <w:marLeft w:val="0"/>
                              <w:marRight w:val="0"/>
                              <w:marTop w:val="0"/>
                              <w:marBottom w:val="0"/>
                              <w:divBdr>
                                <w:top w:val="none" w:sz="0" w:space="0" w:color="auto"/>
                                <w:left w:val="none" w:sz="0" w:space="0" w:color="auto"/>
                                <w:bottom w:val="none" w:sz="0" w:space="0" w:color="auto"/>
                                <w:right w:val="none" w:sz="0" w:space="0" w:color="auto"/>
                              </w:divBdr>
                              <w:divsChild>
                                <w:div w:id="104230033">
                                  <w:marLeft w:val="0"/>
                                  <w:marRight w:val="0"/>
                                  <w:marTop w:val="0"/>
                                  <w:marBottom w:val="0"/>
                                  <w:divBdr>
                                    <w:top w:val="none" w:sz="0" w:space="0" w:color="auto"/>
                                    <w:left w:val="none" w:sz="0" w:space="0" w:color="auto"/>
                                    <w:bottom w:val="none" w:sz="0" w:space="0" w:color="auto"/>
                                    <w:right w:val="none" w:sz="0" w:space="0" w:color="auto"/>
                                  </w:divBdr>
                                  <w:divsChild>
                                    <w:div w:id="65544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78013">
                          <w:marLeft w:val="0"/>
                          <w:marRight w:val="0"/>
                          <w:marTop w:val="0"/>
                          <w:marBottom w:val="0"/>
                          <w:divBdr>
                            <w:top w:val="none" w:sz="0" w:space="0" w:color="auto"/>
                            <w:left w:val="none" w:sz="0" w:space="0" w:color="auto"/>
                            <w:bottom w:val="none" w:sz="0" w:space="0" w:color="auto"/>
                            <w:right w:val="none" w:sz="0" w:space="0" w:color="auto"/>
                          </w:divBdr>
                          <w:divsChild>
                            <w:div w:id="629822391">
                              <w:marLeft w:val="0"/>
                              <w:marRight w:val="0"/>
                              <w:marTop w:val="0"/>
                              <w:marBottom w:val="0"/>
                              <w:divBdr>
                                <w:top w:val="none" w:sz="0" w:space="0" w:color="auto"/>
                                <w:left w:val="none" w:sz="0" w:space="0" w:color="auto"/>
                                <w:bottom w:val="none" w:sz="0" w:space="0" w:color="auto"/>
                                <w:right w:val="none" w:sz="0" w:space="0" w:color="auto"/>
                              </w:divBdr>
                              <w:divsChild>
                                <w:div w:id="7508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025796">
      <w:bodyDiv w:val="1"/>
      <w:marLeft w:val="0"/>
      <w:marRight w:val="0"/>
      <w:marTop w:val="0"/>
      <w:marBottom w:val="0"/>
      <w:divBdr>
        <w:top w:val="none" w:sz="0" w:space="0" w:color="auto"/>
        <w:left w:val="none" w:sz="0" w:space="0" w:color="auto"/>
        <w:bottom w:val="none" w:sz="0" w:space="0" w:color="auto"/>
        <w:right w:val="none" w:sz="0" w:space="0" w:color="auto"/>
      </w:divBdr>
      <w:divsChild>
        <w:div w:id="530806192">
          <w:marLeft w:val="0"/>
          <w:marRight w:val="0"/>
          <w:marTop w:val="0"/>
          <w:marBottom w:val="0"/>
          <w:divBdr>
            <w:top w:val="none" w:sz="0" w:space="0" w:color="auto"/>
            <w:left w:val="none" w:sz="0" w:space="0" w:color="auto"/>
            <w:bottom w:val="none" w:sz="0" w:space="0" w:color="auto"/>
            <w:right w:val="none" w:sz="0" w:space="0" w:color="auto"/>
          </w:divBdr>
          <w:divsChild>
            <w:div w:id="12598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4935">
      <w:bodyDiv w:val="1"/>
      <w:marLeft w:val="0"/>
      <w:marRight w:val="0"/>
      <w:marTop w:val="0"/>
      <w:marBottom w:val="0"/>
      <w:divBdr>
        <w:top w:val="none" w:sz="0" w:space="0" w:color="auto"/>
        <w:left w:val="none" w:sz="0" w:space="0" w:color="auto"/>
        <w:bottom w:val="none" w:sz="0" w:space="0" w:color="auto"/>
        <w:right w:val="none" w:sz="0" w:space="0" w:color="auto"/>
      </w:divBdr>
      <w:divsChild>
        <w:div w:id="103770560">
          <w:marLeft w:val="0"/>
          <w:marRight w:val="0"/>
          <w:marTop w:val="0"/>
          <w:marBottom w:val="0"/>
          <w:divBdr>
            <w:top w:val="single" w:sz="2" w:space="0" w:color="auto"/>
            <w:left w:val="single" w:sz="2" w:space="0" w:color="auto"/>
            <w:bottom w:val="single" w:sz="2" w:space="0" w:color="auto"/>
            <w:right w:val="single" w:sz="2" w:space="0" w:color="auto"/>
          </w:divBdr>
          <w:divsChild>
            <w:div w:id="1872956897">
              <w:marLeft w:val="0"/>
              <w:marRight w:val="0"/>
              <w:marTop w:val="0"/>
              <w:marBottom w:val="0"/>
              <w:divBdr>
                <w:top w:val="single" w:sz="2" w:space="0" w:color="auto"/>
                <w:left w:val="single" w:sz="2" w:space="0" w:color="auto"/>
                <w:bottom w:val="single" w:sz="2" w:space="0" w:color="auto"/>
                <w:right w:val="single" w:sz="2" w:space="0" w:color="auto"/>
              </w:divBdr>
              <w:divsChild>
                <w:div w:id="1898709208">
                  <w:marLeft w:val="0"/>
                  <w:marRight w:val="0"/>
                  <w:marTop w:val="0"/>
                  <w:marBottom w:val="0"/>
                  <w:divBdr>
                    <w:top w:val="single" w:sz="2" w:space="0" w:color="auto"/>
                    <w:left w:val="single" w:sz="2" w:space="0" w:color="auto"/>
                    <w:bottom w:val="single" w:sz="2" w:space="0" w:color="auto"/>
                    <w:right w:val="single" w:sz="2" w:space="0" w:color="auto"/>
                  </w:divBdr>
                  <w:divsChild>
                    <w:div w:id="891845850">
                      <w:marLeft w:val="0"/>
                      <w:marRight w:val="0"/>
                      <w:marTop w:val="0"/>
                      <w:marBottom w:val="0"/>
                      <w:divBdr>
                        <w:top w:val="single" w:sz="2" w:space="0" w:color="auto"/>
                        <w:left w:val="single" w:sz="2" w:space="0" w:color="auto"/>
                        <w:bottom w:val="single" w:sz="2" w:space="0" w:color="auto"/>
                        <w:right w:val="single" w:sz="2" w:space="0" w:color="auto"/>
                      </w:divBdr>
                      <w:divsChild>
                        <w:div w:id="520434943">
                          <w:marLeft w:val="0"/>
                          <w:marRight w:val="0"/>
                          <w:marTop w:val="0"/>
                          <w:marBottom w:val="0"/>
                          <w:divBdr>
                            <w:top w:val="single" w:sz="2" w:space="0" w:color="auto"/>
                            <w:left w:val="single" w:sz="2" w:space="0" w:color="auto"/>
                            <w:bottom w:val="single" w:sz="2" w:space="0" w:color="auto"/>
                            <w:right w:val="single" w:sz="2" w:space="0" w:color="auto"/>
                          </w:divBdr>
                          <w:divsChild>
                            <w:div w:id="378553590">
                              <w:marLeft w:val="0"/>
                              <w:marRight w:val="0"/>
                              <w:marTop w:val="0"/>
                              <w:marBottom w:val="0"/>
                              <w:divBdr>
                                <w:top w:val="single" w:sz="2" w:space="0" w:color="auto"/>
                                <w:left w:val="single" w:sz="2" w:space="0" w:color="auto"/>
                                <w:bottom w:val="single" w:sz="2" w:space="0" w:color="auto"/>
                                <w:right w:val="single" w:sz="2" w:space="0" w:color="auto"/>
                              </w:divBdr>
                              <w:divsChild>
                                <w:div w:id="1996831819">
                                  <w:marLeft w:val="0"/>
                                  <w:marRight w:val="0"/>
                                  <w:marTop w:val="0"/>
                                  <w:marBottom w:val="0"/>
                                  <w:divBdr>
                                    <w:top w:val="single" w:sz="2" w:space="2" w:color="auto"/>
                                    <w:left w:val="single" w:sz="2" w:space="0" w:color="auto"/>
                                    <w:bottom w:val="single" w:sz="2" w:space="0" w:color="auto"/>
                                    <w:right w:val="single" w:sz="2" w:space="0" w:color="auto"/>
                                  </w:divBdr>
                                  <w:divsChild>
                                    <w:div w:id="2807686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560360347">
      <w:bodyDiv w:val="1"/>
      <w:marLeft w:val="0"/>
      <w:marRight w:val="0"/>
      <w:marTop w:val="0"/>
      <w:marBottom w:val="0"/>
      <w:divBdr>
        <w:top w:val="none" w:sz="0" w:space="0" w:color="auto"/>
        <w:left w:val="none" w:sz="0" w:space="0" w:color="auto"/>
        <w:bottom w:val="none" w:sz="0" w:space="0" w:color="auto"/>
        <w:right w:val="none" w:sz="0" w:space="0" w:color="auto"/>
      </w:divBdr>
    </w:div>
    <w:div w:id="572200602">
      <w:bodyDiv w:val="1"/>
      <w:marLeft w:val="0"/>
      <w:marRight w:val="0"/>
      <w:marTop w:val="0"/>
      <w:marBottom w:val="0"/>
      <w:divBdr>
        <w:top w:val="none" w:sz="0" w:space="0" w:color="auto"/>
        <w:left w:val="none" w:sz="0" w:space="0" w:color="auto"/>
        <w:bottom w:val="none" w:sz="0" w:space="0" w:color="auto"/>
        <w:right w:val="none" w:sz="0" w:space="0" w:color="auto"/>
      </w:divBdr>
      <w:divsChild>
        <w:div w:id="1915823331">
          <w:marLeft w:val="0"/>
          <w:marRight w:val="0"/>
          <w:marTop w:val="0"/>
          <w:marBottom w:val="0"/>
          <w:divBdr>
            <w:top w:val="none" w:sz="0" w:space="0" w:color="auto"/>
            <w:left w:val="none" w:sz="0" w:space="0" w:color="auto"/>
            <w:bottom w:val="none" w:sz="0" w:space="0" w:color="auto"/>
            <w:right w:val="none" w:sz="0" w:space="0" w:color="auto"/>
          </w:divBdr>
          <w:divsChild>
            <w:div w:id="485164906">
              <w:marLeft w:val="0"/>
              <w:marRight w:val="0"/>
              <w:marTop w:val="0"/>
              <w:marBottom w:val="0"/>
              <w:divBdr>
                <w:top w:val="none" w:sz="0" w:space="0" w:color="auto"/>
                <w:left w:val="none" w:sz="0" w:space="0" w:color="auto"/>
                <w:bottom w:val="none" w:sz="0" w:space="0" w:color="auto"/>
                <w:right w:val="none" w:sz="0" w:space="0" w:color="auto"/>
              </w:divBdr>
              <w:divsChild>
                <w:div w:id="2139713074">
                  <w:marLeft w:val="0"/>
                  <w:marRight w:val="0"/>
                  <w:marTop w:val="0"/>
                  <w:marBottom w:val="0"/>
                  <w:divBdr>
                    <w:top w:val="none" w:sz="0" w:space="0" w:color="auto"/>
                    <w:left w:val="none" w:sz="0" w:space="0" w:color="auto"/>
                    <w:bottom w:val="none" w:sz="0" w:space="0" w:color="auto"/>
                    <w:right w:val="none" w:sz="0" w:space="0" w:color="auto"/>
                  </w:divBdr>
                  <w:divsChild>
                    <w:div w:id="183684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988602">
      <w:bodyDiv w:val="1"/>
      <w:marLeft w:val="0"/>
      <w:marRight w:val="0"/>
      <w:marTop w:val="0"/>
      <w:marBottom w:val="0"/>
      <w:divBdr>
        <w:top w:val="none" w:sz="0" w:space="0" w:color="auto"/>
        <w:left w:val="none" w:sz="0" w:space="0" w:color="auto"/>
        <w:bottom w:val="none" w:sz="0" w:space="0" w:color="auto"/>
        <w:right w:val="none" w:sz="0" w:space="0" w:color="auto"/>
      </w:divBdr>
      <w:divsChild>
        <w:div w:id="482503408">
          <w:marLeft w:val="0"/>
          <w:marRight w:val="0"/>
          <w:marTop w:val="0"/>
          <w:marBottom w:val="0"/>
          <w:divBdr>
            <w:top w:val="none" w:sz="0" w:space="0" w:color="auto"/>
            <w:left w:val="none" w:sz="0" w:space="0" w:color="auto"/>
            <w:bottom w:val="none" w:sz="0" w:space="0" w:color="auto"/>
            <w:right w:val="none" w:sz="0" w:space="0" w:color="auto"/>
          </w:divBdr>
          <w:divsChild>
            <w:div w:id="1749843380">
              <w:marLeft w:val="0"/>
              <w:marRight w:val="0"/>
              <w:marTop w:val="0"/>
              <w:marBottom w:val="0"/>
              <w:divBdr>
                <w:top w:val="none" w:sz="0" w:space="0" w:color="auto"/>
                <w:left w:val="none" w:sz="0" w:space="0" w:color="auto"/>
                <w:bottom w:val="none" w:sz="0" w:space="0" w:color="auto"/>
                <w:right w:val="none" w:sz="0" w:space="0" w:color="auto"/>
              </w:divBdr>
              <w:divsChild>
                <w:div w:id="1515614012">
                  <w:marLeft w:val="0"/>
                  <w:marRight w:val="0"/>
                  <w:marTop w:val="0"/>
                  <w:marBottom w:val="0"/>
                  <w:divBdr>
                    <w:top w:val="none" w:sz="0" w:space="0" w:color="auto"/>
                    <w:left w:val="none" w:sz="0" w:space="0" w:color="auto"/>
                    <w:bottom w:val="none" w:sz="0" w:space="0" w:color="auto"/>
                    <w:right w:val="none" w:sz="0" w:space="0" w:color="auto"/>
                  </w:divBdr>
                  <w:divsChild>
                    <w:div w:id="1984506331">
                      <w:marLeft w:val="0"/>
                      <w:marRight w:val="0"/>
                      <w:marTop w:val="0"/>
                      <w:marBottom w:val="0"/>
                      <w:divBdr>
                        <w:top w:val="none" w:sz="0" w:space="0" w:color="auto"/>
                        <w:left w:val="none" w:sz="0" w:space="0" w:color="auto"/>
                        <w:bottom w:val="none" w:sz="0" w:space="0" w:color="auto"/>
                        <w:right w:val="none" w:sz="0" w:space="0" w:color="auto"/>
                      </w:divBdr>
                      <w:divsChild>
                        <w:div w:id="1250428318">
                          <w:marLeft w:val="0"/>
                          <w:marRight w:val="0"/>
                          <w:marTop w:val="0"/>
                          <w:marBottom w:val="0"/>
                          <w:divBdr>
                            <w:top w:val="none" w:sz="0" w:space="0" w:color="auto"/>
                            <w:left w:val="none" w:sz="0" w:space="0" w:color="auto"/>
                            <w:bottom w:val="none" w:sz="0" w:space="0" w:color="auto"/>
                            <w:right w:val="none" w:sz="0" w:space="0" w:color="auto"/>
                          </w:divBdr>
                          <w:divsChild>
                            <w:div w:id="2125464802">
                              <w:marLeft w:val="0"/>
                              <w:marRight w:val="0"/>
                              <w:marTop w:val="0"/>
                              <w:marBottom w:val="0"/>
                              <w:divBdr>
                                <w:top w:val="none" w:sz="0" w:space="0" w:color="auto"/>
                                <w:left w:val="none" w:sz="0" w:space="0" w:color="auto"/>
                                <w:bottom w:val="none" w:sz="0" w:space="0" w:color="auto"/>
                                <w:right w:val="none" w:sz="0" w:space="0" w:color="auto"/>
                              </w:divBdr>
                              <w:divsChild>
                                <w:div w:id="140460620">
                                  <w:marLeft w:val="0"/>
                                  <w:marRight w:val="0"/>
                                  <w:marTop w:val="0"/>
                                  <w:marBottom w:val="0"/>
                                  <w:divBdr>
                                    <w:top w:val="none" w:sz="0" w:space="0" w:color="auto"/>
                                    <w:left w:val="none" w:sz="0" w:space="0" w:color="auto"/>
                                    <w:bottom w:val="none" w:sz="0" w:space="0" w:color="auto"/>
                                    <w:right w:val="none" w:sz="0" w:space="0" w:color="auto"/>
                                  </w:divBdr>
                                  <w:divsChild>
                                    <w:div w:id="202906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185599">
                          <w:marLeft w:val="0"/>
                          <w:marRight w:val="0"/>
                          <w:marTop w:val="0"/>
                          <w:marBottom w:val="0"/>
                          <w:divBdr>
                            <w:top w:val="none" w:sz="0" w:space="0" w:color="auto"/>
                            <w:left w:val="none" w:sz="0" w:space="0" w:color="auto"/>
                            <w:bottom w:val="none" w:sz="0" w:space="0" w:color="auto"/>
                            <w:right w:val="none" w:sz="0" w:space="0" w:color="auto"/>
                          </w:divBdr>
                          <w:divsChild>
                            <w:div w:id="1158886015">
                              <w:marLeft w:val="0"/>
                              <w:marRight w:val="0"/>
                              <w:marTop w:val="0"/>
                              <w:marBottom w:val="0"/>
                              <w:divBdr>
                                <w:top w:val="none" w:sz="0" w:space="0" w:color="auto"/>
                                <w:left w:val="none" w:sz="0" w:space="0" w:color="auto"/>
                                <w:bottom w:val="none" w:sz="0" w:space="0" w:color="auto"/>
                                <w:right w:val="none" w:sz="0" w:space="0" w:color="auto"/>
                              </w:divBdr>
                              <w:divsChild>
                                <w:div w:id="32879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95696">
      <w:bodyDiv w:val="1"/>
      <w:marLeft w:val="0"/>
      <w:marRight w:val="0"/>
      <w:marTop w:val="0"/>
      <w:marBottom w:val="0"/>
      <w:divBdr>
        <w:top w:val="none" w:sz="0" w:space="0" w:color="auto"/>
        <w:left w:val="none" w:sz="0" w:space="0" w:color="auto"/>
        <w:bottom w:val="none" w:sz="0" w:space="0" w:color="auto"/>
        <w:right w:val="none" w:sz="0" w:space="0" w:color="auto"/>
      </w:divBdr>
      <w:divsChild>
        <w:div w:id="1092042777">
          <w:marLeft w:val="0"/>
          <w:marRight w:val="0"/>
          <w:marTop w:val="0"/>
          <w:marBottom w:val="0"/>
          <w:divBdr>
            <w:top w:val="none" w:sz="0" w:space="0" w:color="auto"/>
            <w:left w:val="none" w:sz="0" w:space="0" w:color="auto"/>
            <w:bottom w:val="none" w:sz="0" w:space="0" w:color="auto"/>
            <w:right w:val="none" w:sz="0" w:space="0" w:color="auto"/>
          </w:divBdr>
          <w:divsChild>
            <w:div w:id="157858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102100">
      <w:bodyDiv w:val="1"/>
      <w:marLeft w:val="0"/>
      <w:marRight w:val="0"/>
      <w:marTop w:val="0"/>
      <w:marBottom w:val="0"/>
      <w:divBdr>
        <w:top w:val="none" w:sz="0" w:space="0" w:color="auto"/>
        <w:left w:val="none" w:sz="0" w:space="0" w:color="auto"/>
        <w:bottom w:val="none" w:sz="0" w:space="0" w:color="auto"/>
        <w:right w:val="none" w:sz="0" w:space="0" w:color="auto"/>
      </w:divBdr>
      <w:divsChild>
        <w:div w:id="1498114076">
          <w:marLeft w:val="0"/>
          <w:marRight w:val="0"/>
          <w:marTop w:val="0"/>
          <w:marBottom w:val="0"/>
          <w:divBdr>
            <w:top w:val="none" w:sz="0" w:space="0" w:color="auto"/>
            <w:left w:val="none" w:sz="0" w:space="0" w:color="auto"/>
            <w:bottom w:val="none" w:sz="0" w:space="0" w:color="auto"/>
            <w:right w:val="none" w:sz="0" w:space="0" w:color="auto"/>
          </w:divBdr>
          <w:divsChild>
            <w:div w:id="625741914">
              <w:marLeft w:val="0"/>
              <w:marRight w:val="0"/>
              <w:marTop w:val="0"/>
              <w:marBottom w:val="0"/>
              <w:divBdr>
                <w:top w:val="none" w:sz="0" w:space="0" w:color="auto"/>
                <w:left w:val="none" w:sz="0" w:space="0" w:color="auto"/>
                <w:bottom w:val="none" w:sz="0" w:space="0" w:color="auto"/>
                <w:right w:val="none" w:sz="0" w:space="0" w:color="auto"/>
              </w:divBdr>
              <w:divsChild>
                <w:div w:id="1250579997">
                  <w:marLeft w:val="0"/>
                  <w:marRight w:val="0"/>
                  <w:marTop w:val="0"/>
                  <w:marBottom w:val="0"/>
                  <w:divBdr>
                    <w:top w:val="none" w:sz="0" w:space="0" w:color="auto"/>
                    <w:left w:val="none" w:sz="0" w:space="0" w:color="auto"/>
                    <w:bottom w:val="none" w:sz="0" w:space="0" w:color="auto"/>
                    <w:right w:val="none" w:sz="0" w:space="0" w:color="auto"/>
                  </w:divBdr>
                  <w:divsChild>
                    <w:div w:id="21046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389016">
      <w:bodyDiv w:val="1"/>
      <w:marLeft w:val="0"/>
      <w:marRight w:val="0"/>
      <w:marTop w:val="0"/>
      <w:marBottom w:val="0"/>
      <w:divBdr>
        <w:top w:val="none" w:sz="0" w:space="0" w:color="auto"/>
        <w:left w:val="none" w:sz="0" w:space="0" w:color="auto"/>
        <w:bottom w:val="none" w:sz="0" w:space="0" w:color="auto"/>
        <w:right w:val="none" w:sz="0" w:space="0" w:color="auto"/>
      </w:divBdr>
      <w:divsChild>
        <w:div w:id="417823020">
          <w:marLeft w:val="0"/>
          <w:marRight w:val="0"/>
          <w:marTop w:val="0"/>
          <w:marBottom w:val="0"/>
          <w:divBdr>
            <w:top w:val="none" w:sz="0" w:space="0" w:color="auto"/>
            <w:left w:val="none" w:sz="0" w:space="0" w:color="auto"/>
            <w:bottom w:val="none" w:sz="0" w:space="0" w:color="auto"/>
            <w:right w:val="none" w:sz="0" w:space="0" w:color="auto"/>
          </w:divBdr>
          <w:divsChild>
            <w:div w:id="1527937643">
              <w:marLeft w:val="0"/>
              <w:marRight w:val="0"/>
              <w:marTop w:val="0"/>
              <w:marBottom w:val="0"/>
              <w:divBdr>
                <w:top w:val="none" w:sz="0" w:space="0" w:color="auto"/>
                <w:left w:val="none" w:sz="0" w:space="0" w:color="auto"/>
                <w:bottom w:val="none" w:sz="0" w:space="0" w:color="auto"/>
                <w:right w:val="none" w:sz="0" w:space="0" w:color="auto"/>
              </w:divBdr>
              <w:divsChild>
                <w:div w:id="1495341227">
                  <w:marLeft w:val="0"/>
                  <w:marRight w:val="0"/>
                  <w:marTop w:val="0"/>
                  <w:marBottom w:val="0"/>
                  <w:divBdr>
                    <w:top w:val="none" w:sz="0" w:space="0" w:color="auto"/>
                    <w:left w:val="none" w:sz="0" w:space="0" w:color="auto"/>
                    <w:bottom w:val="none" w:sz="0" w:space="0" w:color="auto"/>
                    <w:right w:val="none" w:sz="0" w:space="0" w:color="auto"/>
                  </w:divBdr>
                  <w:divsChild>
                    <w:div w:id="148473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369495">
      <w:bodyDiv w:val="1"/>
      <w:marLeft w:val="0"/>
      <w:marRight w:val="0"/>
      <w:marTop w:val="0"/>
      <w:marBottom w:val="0"/>
      <w:divBdr>
        <w:top w:val="none" w:sz="0" w:space="0" w:color="auto"/>
        <w:left w:val="none" w:sz="0" w:space="0" w:color="auto"/>
        <w:bottom w:val="none" w:sz="0" w:space="0" w:color="auto"/>
        <w:right w:val="none" w:sz="0" w:space="0" w:color="auto"/>
      </w:divBdr>
      <w:divsChild>
        <w:div w:id="855460320">
          <w:marLeft w:val="0"/>
          <w:marRight w:val="0"/>
          <w:marTop w:val="0"/>
          <w:marBottom w:val="0"/>
          <w:divBdr>
            <w:top w:val="none" w:sz="0" w:space="0" w:color="auto"/>
            <w:left w:val="none" w:sz="0" w:space="0" w:color="auto"/>
            <w:bottom w:val="none" w:sz="0" w:space="0" w:color="auto"/>
            <w:right w:val="none" w:sz="0" w:space="0" w:color="auto"/>
          </w:divBdr>
          <w:divsChild>
            <w:div w:id="377359225">
              <w:marLeft w:val="0"/>
              <w:marRight w:val="0"/>
              <w:marTop w:val="0"/>
              <w:marBottom w:val="0"/>
              <w:divBdr>
                <w:top w:val="none" w:sz="0" w:space="0" w:color="auto"/>
                <w:left w:val="none" w:sz="0" w:space="0" w:color="auto"/>
                <w:bottom w:val="none" w:sz="0" w:space="0" w:color="auto"/>
                <w:right w:val="none" w:sz="0" w:space="0" w:color="auto"/>
              </w:divBdr>
              <w:divsChild>
                <w:div w:id="41490297">
                  <w:marLeft w:val="0"/>
                  <w:marRight w:val="0"/>
                  <w:marTop w:val="0"/>
                  <w:marBottom w:val="0"/>
                  <w:divBdr>
                    <w:top w:val="none" w:sz="0" w:space="0" w:color="auto"/>
                    <w:left w:val="none" w:sz="0" w:space="0" w:color="auto"/>
                    <w:bottom w:val="none" w:sz="0" w:space="0" w:color="auto"/>
                    <w:right w:val="none" w:sz="0" w:space="0" w:color="auto"/>
                  </w:divBdr>
                  <w:divsChild>
                    <w:div w:id="1135947099">
                      <w:marLeft w:val="0"/>
                      <w:marRight w:val="0"/>
                      <w:marTop w:val="0"/>
                      <w:marBottom w:val="0"/>
                      <w:divBdr>
                        <w:top w:val="none" w:sz="0" w:space="0" w:color="auto"/>
                        <w:left w:val="none" w:sz="0" w:space="0" w:color="auto"/>
                        <w:bottom w:val="none" w:sz="0" w:space="0" w:color="auto"/>
                        <w:right w:val="none" w:sz="0" w:space="0" w:color="auto"/>
                      </w:divBdr>
                      <w:divsChild>
                        <w:div w:id="39669540">
                          <w:marLeft w:val="0"/>
                          <w:marRight w:val="0"/>
                          <w:marTop w:val="0"/>
                          <w:marBottom w:val="0"/>
                          <w:divBdr>
                            <w:top w:val="none" w:sz="0" w:space="0" w:color="auto"/>
                            <w:left w:val="none" w:sz="0" w:space="0" w:color="auto"/>
                            <w:bottom w:val="none" w:sz="0" w:space="0" w:color="auto"/>
                            <w:right w:val="none" w:sz="0" w:space="0" w:color="auto"/>
                          </w:divBdr>
                          <w:divsChild>
                            <w:div w:id="606229617">
                              <w:marLeft w:val="0"/>
                              <w:marRight w:val="0"/>
                              <w:marTop w:val="0"/>
                              <w:marBottom w:val="0"/>
                              <w:divBdr>
                                <w:top w:val="none" w:sz="0" w:space="0" w:color="auto"/>
                                <w:left w:val="none" w:sz="0" w:space="0" w:color="auto"/>
                                <w:bottom w:val="none" w:sz="0" w:space="0" w:color="auto"/>
                                <w:right w:val="none" w:sz="0" w:space="0" w:color="auto"/>
                              </w:divBdr>
                              <w:divsChild>
                                <w:div w:id="1080298634">
                                  <w:marLeft w:val="0"/>
                                  <w:marRight w:val="0"/>
                                  <w:marTop w:val="0"/>
                                  <w:marBottom w:val="0"/>
                                  <w:divBdr>
                                    <w:top w:val="none" w:sz="0" w:space="0" w:color="auto"/>
                                    <w:left w:val="none" w:sz="0" w:space="0" w:color="auto"/>
                                    <w:bottom w:val="none" w:sz="0" w:space="0" w:color="auto"/>
                                    <w:right w:val="none" w:sz="0" w:space="0" w:color="auto"/>
                                  </w:divBdr>
                                  <w:divsChild>
                                    <w:div w:id="163467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845924">
                          <w:marLeft w:val="0"/>
                          <w:marRight w:val="0"/>
                          <w:marTop w:val="0"/>
                          <w:marBottom w:val="0"/>
                          <w:divBdr>
                            <w:top w:val="none" w:sz="0" w:space="0" w:color="auto"/>
                            <w:left w:val="none" w:sz="0" w:space="0" w:color="auto"/>
                            <w:bottom w:val="none" w:sz="0" w:space="0" w:color="auto"/>
                            <w:right w:val="none" w:sz="0" w:space="0" w:color="auto"/>
                          </w:divBdr>
                          <w:divsChild>
                            <w:div w:id="1211528626">
                              <w:marLeft w:val="0"/>
                              <w:marRight w:val="0"/>
                              <w:marTop w:val="0"/>
                              <w:marBottom w:val="0"/>
                              <w:divBdr>
                                <w:top w:val="none" w:sz="0" w:space="0" w:color="auto"/>
                                <w:left w:val="none" w:sz="0" w:space="0" w:color="auto"/>
                                <w:bottom w:val="none" w:sz="0" w:space="0" w:color="auto"/>
                                <w:right w:val="none" w:sz="0" w:space="0" w:color="auto"/>
                              </w:divBdr>
                              <w:divsChild>
                                <w:div w:id="78708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971269">
      <w:bodyDiv w:val="1"/>
      <w:marLeft w:val="0"/>
      <w:marRight w:val="0"/>
      <w:marTop w:val="0"/>
      <w:marBottom w:val="0"/>
      <w:divBdr>
        <w:top w:val="none" w:sz="0" w:space="0" w:color="auto"/>
        <w:left w:val="none" w:sz="0" w:space="0" w:color="auto"/>
        <w:bottom w:val="none" w:sz="0" w:space="0" w:color="auto"/>
        <w:right w:val="none" w:sz="0" w:space="0" w:color="auto"/>
      </w:divBdr>
      <w:divsChild>
        <w:div w:id="1765764451">
          <w:marLeft w:val="0"/>
          <w:marRight w:val="0"/>
          <w:marTop w:val="0"/>
          <w:marBottom w:val="0"/>
          <w:divBdr>
            <w:top w:val="none" w:sz="0" w:space="0" w:color="auto"/>
            <w:left w:val="none" w:sz="0" w:space="0" w:color="auto"/>
            <w:bottom w:val="none" w:sz="0" w:space="0" w:color="auto"/>
            <w:right w:val="none" w:sz="0" w:space="0" w:color="auto"/>
          </w:divBdr>
          <w:divsChild>
            <w:div w:id="240456101">
              <w:marLeft w:val="0"/>
              <w:marRight w:val="0"/>
              <w:marTop w:val="0"/>
              <w:marBottom w:val="0"/>
              <w:divBdr>
                <w:top w:val="none" w:sz="0" w:space="0" w:color="auto"/>
                <w:left w:val="none" w:sz="0" w:space="0" w:color="auto"/>
                <w:bottom w:val="none" w:sz="0" w:space="0" w:color="auto"/>
                <w:right w:val="none" w:sz="0" w:space="0" w:color="auto"/>
              </w:divBdr>
              <w:divsChild>
                <w:div w:id="89738613">
                  <w:marLeft w:val="0"/>
                  <w:marRight w:val="0"/>
                  <w:marTop w:val="0"/>
                  <w:marBottom w:val="0"/>
                  <w:divBdr>
                    <w:top w:val="none" w:sz="0" w:space="0" w:color="auto"/>
                    <w:left w:val="none" w:sz="0" w:space="0" w:color="auto"/>
                    <w:bottom w:val="none" w:sz="0" w:space="0" w:color="auto"/>
                    <w:right w:val="none" w:sz="0" w:space="0" w:color="auto"/>
                  </w:divBdr>
                  <w:divsChild>
                    <w:div w:id="9460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974790">
      <w:bodyDiv w:val="1"/>
      <w:marLeft w:val="0"/>
      <w:marRight w:val="0"/>
      <w:marTop w:val="0"/>
      <w:marBottom w:val="0"/>
      <w:divBdr>
        <w:top w:val="none" w:sz="0" w:space="0" w:color="auto"/>
        <w:left w:val="none" w:sz="0" w:space="0" w:color="auto"/>
        <w:bottom w:val="none" w:sz="0" w:space="0" w:color="auto"/>
        <w:right w:val="none" w:sz="0" w:space="0" w:color="auto"/>
      </w:divBdr>
    </w:div>
    <w:div w:id="748311320">
      <w:bodyDiv w:val="1"/>
      <w:marLeft w:val="0"/>
      <w:marRight w:val="0"/>
      <w:marTop w:val="0"/>
      <w:marBottom w:val="0"/>
      <w:divBdr>
        <w:top w:val="none" w:sz="0" w:space="0" w:color="auto"/>
        <w:left w:val="none" w:sz="0" w:space="0" w:color="auto"/>
        <w:bottom w:val="none" w:sz="0" w:space="0" w:color="auto"/>
        <w:right w:val="none" w:sz="0" w:space="0" w:color="auto"/>
      </w:divBdr>
      <w:divsChild>
        <w:div w:id="589462178">
          <w:marLeft w:val="0"/>
          <w:marRight w:val="0"/>
          <w:marTop w:val="0"/>
          <w:marBottom w:val="0"/>
          <w:divBdr>
            <w:top w:val="none" w:sz="0" w:space="0" w:color="auto"/>
            <w:left w:val="none" w:sz="0" w:space="0" w:color="auto"/>
            <w:bottom w:val="none" w:sz="0" w:space="0" w:color="auto"/>
            <w:right w:val="none" w:sz="0" w:space="0" w:color="auto"/>
          </w:divBdr>
          <w:divsChild>
            <w:div w:id="612981440">
              <w:marLeft w:val="0"/>
              <w:marRight w:val="0"/>
              <w:marTop w:val="0"/>
              <w:marBottom w:val="0"/>
              <w:divBdr>
                <w:top w:val="none" w:sz="0" w:space="0" w:color="auto"/>
                <w:left w:val="none" w:sz="0" w:space="0" w:color="auto"/>
                <w:bottom w:val="none" w:sz="0" w:space="0" w:color="auto"/>
                <w:right w:val="none" w:sz="0" w:space="0" w:color="auto"/>
              </w:divBdr>
            </w:div>
          </w:divsChild>
        </w:div>
        <w:div w:id="892042397">
          <w:marLeft w:val="0"/>
          <w:marRight w:val="0"/>
          <w:marTop w:val="0"/>
          <w:marBottom w:val="0"/>
          <w:divBdr>
            <w:top w:val="none" w:sz="0" w:space="0" w:color="auto"/>
            <w:left w:val="none" w:sz="0" w:space="0" w:color="auto"/>
            <w:bottom w:val="none" w:sz="0" w:space="0" w:color="auto"/>
            <w:right w:val="none" w:sz="0" w:space="0" w:color="auto"/>
          </w:divBdr>
          <w:divsChild>
            <w:div w:id="543834345">
              <w:marLeft w:val="0"/>
              <w:marRight w:val="0"/>
              <w:marTop w:val="0"/>
              <w:marBottom w:val="0"/>
              <w:divBdr>
                <w:top w:val="none" w:sz="0" w:space="0" w:color="auto"/>
                <w:left w:val="none" w:sz="0" w:space="0" w:color="auto"/>
                <w:bottom w:val="none" w:sz="0" w:space="0" w:color="auto"/>
                <w:right w:val="none" w:sz="0" w:space="0" w:color="auto"/>
              </w:divBdr>
            </w:div>
          </w:divsChild>
        </w:div>
        <w:div w:id="1256476772">
          <w:marLeft w:val="0"/>
          <w:marRight w:val="0"/>
          <w:marTop w:val="0"/>
          <w:marBottom w:val="0"/>
          <w:divBdr>
            <w:top w:val="none" w:sz="0" w:space="0" w:color="auto"/>
            <w:left w:val="none" w:sz="0" w:space="0" w:color="auto"/>
            <w:bottom w:val="none" w:sz="0" w:space="0" w:color="auto"/>
            <w:right w:val="none" w:sz="0" w:space="0" w:color="auto"/>
          </w:divBdr>
          <w:divsChild>
            <w:div w:id="646906418">
              <w:marLeft w:val="0"/>
              <w:marRight w:val="0"/>
              <w:marTop w:val="0"/>
              <w:marBottom w:val="0"/>
              <w:divBdr>
                <w:top w:val="none" w:sz="0" w:space="0" w:color="auto"/>
                <w:left w:val="none" w:sz="0" w:space="0" w:color="auto"/>
                <w:bottom w:val="none" w:sz="0" w:space="0" w:color="auto"/>
                <w:right w:val="none" w:sz="0" w:space="0" w:color="auto"/>
              </w:divBdr>
            </w:div>
          </w:divsChild>
        </w:div>
        <w:div w:id="1452474389">
          <w:marLeft w:val="0"/>
          <w:marRight w:val="0"/>
          <w:marTop w:val="0"/>
          <w:marBottom w:val="0"/>
          <w:divBdr>
            <w:top w:val="none" w:sz="0" w:space="0" w:color="auto"/>
            <w:left w:val="none" w:sz="0" w:space="0" w:color="auto"/>
            <w:bottom w:val="none" w:sz="0" w:space="0" w:color="auto"/>
            <w:right w:val="none" w:sz="0" w:space="0" w:color="auto"/>
          </w:divBdr>
          <w:divsChild>
            <w:div w:id="12035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41286">
      <w:bodyDiv w:val="1"/>
      <w:marLeft w:val="0"/>
      <w:marRight w:val="0"/>
      <w:marTop w:val="0"/>
      <w:marBottom w:val="0"/>
      <w:divBdr>
        <w:top w:val="none" w:sz="0" w:space="0" w:color="auto"/>
        <w:left w:val="none" w:sz="0" w:space="0" w:color="auto"/>
        <w:bottom w:val="none" w:sz="0" w:space="0" w:color="auto"/>
        <w:right w:val="none" w:sz="0" w:space="0" w:color="auto"/>
      </w:divBdr>
      <w:divsChild>
        <w:div w:id="1564365424">
          <w:marLeft w:val="0"/>
          <w:marRight w:val="0"/>
          <w:marTop w:val="0"/>
          <w:marBottom w:val="0"/>
          <w:divBdr>
            <w:top w:val="none" w:sz="0" w:space="0" w:color="auto"/>
            <w:left w:val="none" w:sz="0" w:space="0" w:color="auto"/>
            <w:bottom w:val="none" w:sz="0" w:space="0" w:color="auto"/>
            <w:right w:val="none" w:sz="0" w:space="0" w:color="auto"/>
          </w:divBdr>
          <w:divsChild>
            <w:div w:id="462308876">
              <w:marLeft w:val="0"/>
              <w:marRight w:val="0"/>
              <w:marTop w:val="0"/>
              <w:marBottom w:val="0"/>
              <w:divBdr>
                <w:top w:val="none" w:sz="0" w:space="0" w:color="auto"/>
                <w:left w:val="none" w:sz="0" w:space="0" w:color="auto"/>
                <w:bottom w:val="none" w:sz="0" w:space="0" w:color="auto"/>
                <w:right w:val="none" w:sz="0" w:space="0" w:color="auto"/>
              </w:divBdr>
              <w:divsChild>
                <w:div w:id="1287345595">
                  <w:marLeft w:val="0"/>
                  <w:marRight w:val="0"/>
                  <w:marTop w:val="0"/>
                  <w:marBottom w:val="0"/>
                  <w:divBdr>
                    <w:top w:val="none" w:sz="0" w:space="0" w:color="auto"/>
                    <w:left w:val="none" w:sz="0" w:space="0" w:color="auto"/>
                    <w:bottom w:val="none" w:sz="0" w:space="0" w:color="auto"/>
                    <w:right w:val="none" w:sz="0" w:space="0" w:color="auto"/>
                  </w:divBdr>
                  <w:divsChild>
                    <w:div w:id="1640107695">
                      <w:marLeft w:val="0"/>
                      <w:marRight w:val="0"/>
                      <w:marTop w:val="0"/>
                      <w:marBottom w:val="0"/>
                      <w:divBdr>
                        <w:top w:val="none" w:sz="0" w:space="0" w:color="auto"/>
                        <w:left w:val="none" w:sz="0" w:space="0" w:color="auto"/>
                        <w:bottom w:val="none" w:sz="0" w:space="0" w:color="auto"/>
                        <w:right w:val="none" w:sz="0" w:space="0" w:color="auto"/>
                      </w:divBdr>
                      <w:divsChild>
                        <w:div w:id="172260699">
                          <w:marLeft w:val="0"/>
                          <w:marRight w:val="0"/>
                          <w:marTop w:val="0"/>
                          <w:marBottom w:val="0"/>
                          <w:divBdr>
                            <w:top w:val="none" w:sz="0" w:space="0" w:color="auto"/>
                            <w:left w:val="none" w:sz="0" w:space="0" w:color="auto"/>
                            <w:bottom w:val="none" w:sz="0" w:space="0" w:color="auto"/>
                            <w:right w:val="none" w:sz="0" w:space="0" w:color="auto"/>
                          </w:divBdr>
                          <w:divsChild>
                            <w:div w:id="101999183">
                              <w:marLeft w:val="0"/>
                              <w:marRight w:val="0"/>
                              <w:marTop w:val="0"/>
                              <w:marBottom w:val="0"/>
                              <w:divBdr>
                                <w:top w:val="none" w:sz="0" w:space="0" w:color="auto"/>
                                <w:left w:val="none" w:sz="0" w:space="0" w:color="auto"/>
                                <w:bottom w:val="none" w:sz="0" w:space="0" w:color="auto"/>
                                <w:right w:val="none" w:sz="0" w:space="0" w:color="auto"/>
                              </w:divBdr>
                              <w:divsChild>
                                <w:div w:id="1265530244">
                                  <w:marLeft w:val="0"/>
                                  <w:marRight w:val="0"/>
                                  <w:marTop w:val="0"/>
                                  <w:marBottom w:val="0"/>
                                  <w:divBdr>
                                    <w:top w:val="none" w:sz="0" w:space="0" w:color="auto"/>
                                    <w:left w:val="none" w:sz="0" w:space="0" w:color="auto"/>
                                    <w:bottom w:val="none" w:sz="0" w:space="0" w:color="auto"/>
                                    <w:right w:val="none" w:sz="0" w:space="0" w:color="auto"/>
                                  </w:divBdr>
                                  <w:divsChild>
                                    <w:div w:id="17233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40766">
                          <w:marLeft w:val="0"/>
                          <w:marRight w:val="0"/>
                          <w:marTop w:val="0"/>
                          <w:marBottom w:val="0"/>
                          <w:divBdr>
                            <w:top w:val="none" w:sz="0" w:space="0" w:color="auto"/>
                            <w:left w:val="none" w:sz="0" w:space="0" w:color="auto"/>
                            <w:bottom w:val="none" w:sz="0" w:space="0" w:color="auto"/>
                            <w:right w:val="none" w:sz="0" w:space="0" w:color="auto"/>
                          </w:divBdr>
                          <w:divsChild>
                            <w:div w:id="1828739994">
                              <w:marLeft w:val="0"/>
                              <w:marRight w:val="0"/>
                              <w:marTop w:val="0"/>
                              <w:marBottom w:val="0"/>
                              <w:divBdr>
                                <w:top w:val="none" w:sz="0" w:space="0" w:color="auto"/>
                                <w:left w:val="none" w:sz="0" w:space="0" w:color="auto"/>
                                <w:bottom w:val="none" w:sz="0" w:space="0" w:color="auto"/>
                                <w:right w:val="none" w:sz="0" w:space="0" w:color="auto"/>
                              </w:divBdr>
                              <w:divsChild>
                                <w:div w:id="12444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462745">
      <w:bodyDiv w:val="1"/>
      <w:marLeft w:val="0"/>
      <w:marRight w:val="0"/>
      <w:marTop w:val="0"/>
      <w:marBottom w:val="0"/>
      <w:divBdr>
        <w:top w:val="none" w:sz="0" w:space="0" w:color="auto"/>
        <w:left w:val="none" w:sz="0" w:space="0" w:color="auto"/>
        <w:bottom w:val="none" w:sz="0" w:space="0" w:color="auto"/>
        <w:right w:val="none" w:sz="0" w:space="0" w:color="auto"/>
      </w:divBdr>
      <w:divsChild>
        <w:div w:id="1614628556">
          <w:marLeft w:val="0"/>
          <w:marRight w:val="0"/>
          <w:marTop w:val="0"/>
          <w:marBottom w:val="0"/>
          <w:divBdr>
            <w:top w:val="none" w:sz="0" w:space="0" w:color="auto"/>
            <w:left w:val="none" w:sz="0" w:space="0" w:color="auto"/>
            <w:bottom w:val="none" w:sz="0" w:space="0" w:color="auto"/>
            <w:right w:val="none" w:sz="0" w:space="0" w:color="auto"/>
          </w:divBdr>
          <w:divsChild>
            <w:div w:id="506216465">
              <w:marLeft w:val="0"/>
              <w:marRight w:val="0"/>
              <w:marTop w:val="0"/>
              <w:marBottom w:val="0"/>
              <w:divBdr>
                <w:top w:val="none" w:sz="0" w:space="0" w:color="auto"/>
                <w:left w:val="none" w:sz="0" w:space="0" w:color="auto"/>
                <w:bottom w:val="none" w:sz="0" w:space="0" w:color="auto"/>
                <w:right w:val="none" w:sz="0" w:space="0" w:color="auto"/>
              </w:divBdr>
              <w:divsChild>
                <w:div w:id="852187516">
                  <w:marLeft w:val="0"/>
                  <w:marRight w:val="0"/>
                  <w:marTop w:val="0"/>
                  <w:marBottom w:val="0"/>
                  <w:divBdr>
                    <w:top w:val="none" w:sz="0" w:space="0" w:color="auto"/>
                    <w:left w:val="none" w:sz="0" w:space="0" w:color="auto"/>
                    <w:bottom w:val="none" w:sz="0" w:space="0" w:color="auto"/>
                    <w:right w:val="none" w:sz="0" w:space="0" w:color="auto"/>
                  </w:divBdr>
                  <w:divsChild>
                    <w:div w:id="1245146718">
                      <w:marLeft w:val="0"/>
                      <w:marRight w:val="0"/>
                      <w:marTop w:val="0"/>
                      <w:marBottom w:val="0"/>
                      <w:divBdr>
                        <w:top w:val="none" w:sz="0" w:space="0" w:color="auto"/>
                        <w:left w:val="none" w:sz="0" w:space="0" w:color="auto"/>
                        <w:bottom w:val="none" w:sz="0" w:space="0" w:color="auto"/>
                        <w:right w:val="none" w:sz="0" w:space="0" w:color="auto"/>
                      </w:divBdr>
                      <w:divsChild>
                        <w:div w:id="370956880">
                          <w:marLeft w:val="0"/>
                          <w:marRight w:val="0"/>
                          <w:marTop w:val="0"/>
                          <w:marBottom w:val="0"/>
                          <w:divBdr>
                            <w:top w:val="none" w:sz="0" w:space="0" w:color="auto"/>
                            <w:left w:val="none" w:sz="0" w:space="0" w:color="auto"/>
                            <w:bottom w:val="none" w:sz="0" w:space="0" w:color="auto"/>
                            <w:right w:val="none" w:sz="0" w:space="0" w:color="auto"/>
                          </w:divBdr>
                          <w:divsChild>
                            <w:div w:id="551043747">
                              <w:marLeft w:val="0"/>
                              <w:marRight w:val="0"/>
                              <w:marTop w:val="0"/>
                              <w:marBottom w:val="0"/>
                              <w:divBdr>
                                <w:top w:val="none" w:sz="0" w:space="0" w:color="auto"/>
                                <w:left w:val="none" w:sz="0" w:space="0" w:color="auto"/>
                                <w:bottom w:val="none" w:sz="0" w:space="0" w:color="auto"/>
                                <w:right w:val="none" w:sz="0" w:space="0" w:color="auto"/>
                              </w:divBdr>
                              <w:divsChild>
                                <w:div w:id="74017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07342">
                          <w:marLeft w:val="0"/>
                          <w:marRight w:val="0"/>
                          <w:marTop w:val="0"/>
                          <w:marBottom w:val="0"/>
                          <w:divBdr>
                            <w:top w:val="none" w:sz="0" w:space="0" w:color="auto"/>
                            <w:left w:val="none" w:sz="0" w:space="0" w:color="auto"/>
                            <w:bottom w:val="none" w:sz="0" w:space="0" w:color="auto"/>
                            <w:right w:val="none" w:sz="0" w:space="0" w:color="auto"/>
                          </w:divBdr>
                          <w:divsChild>
                            <w:div w:id="530530119">
                              <w:marLeft w:val="0"/>
                              <w:marRight w:val="0"/>
                              <w:marTop w:val="0"/>
                              <w:marBottom w:val="0"/>
                              <w:divBdr>
                                <w:top w:val="none" w:sz="0" w:space="0" w:color="auto"/>
                                <w:left w:val="none" w:sz="0" w:space="0" w:color="auto"/>
                                <w:bottom w:val="none" w:sz="0" w:space="0" w:color="auto"/>
                                <w:right w:val="none" w:sz="0" w:space="0" w:color="auto"/>
                              </w:divBdr>
                              <w:divsChild>
                                <w:div w:id="1182357100">
                                  <w:marLeft w:val="0"/>
                                  <w:marRight w:val="0"/>
                                  <w:marTop w:val="0"/>
                                  <w:marBottom w:val="0"/>
                                  <w:divBdr>
                                    <w:top w:val="none" w:sz="0" w:space="0" w:color="auto"/>
                                    <w:left w:val="none" w:sz="0" w:space="0" w:color="auto"/>
                                    <w:bottom w:val="none" w:sz="0" w:space="0" w:color="auto"/>
                                    <w:right w:val="none" w:sz="0" w:space="0" w:color="auto"/>
                                  </w:divBdr>
                                  <w:divsChild>
                                    <w:div w:id="13666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598949">
      <w:bodyDiv w:val="1"/>
      <w:marLeft w:val="0"/>
      <w:marRight w:val="0"/>
      <w:marTop w:val="0"/>
      <w:marBottom w:val="0"/>
      <w:divBdr>
        <w:top w:val="none" w:sz="0" w:space="0" w:color="auto"/>
        <w:left w:val="none" w:sz="0" w:space="0" w:color="auto"/>
        <w:bottom w:val="none" w:sz="0" w:space="0" w:color="auto"/>
        <w:right w:val="none" w:sz="0" w:space="0" w:color="auto"/>
      </w:divBdr>
    </w:div>
    <w:div w:id="815147816">
      <w:bodyDiv w:val="1"/>
      <w:marLeft w:val="0"/>
      <w:marRight w:val="0"/>
      <w:marTop w:val="0"/>
      <w:marBottom w:val="0"/>
      <w:divBdr>
        <w:top w:val="none" w:sz="0" w:space="0" w:color="auto"/>
        <w:left w:val="none" w:sz="0" w:space="0" w:color="auto"/>
        <w:bottom w:val="none" w:sz="0" w:space="0" w:color="auto"/>
        <w:right w:val="none" w:sz="0" w:space="0" w:color="auto"/>
      </w:divBdr>
    </w:div>
    <w:div w:id="831799002">
      <w:bodyDiv w:val="1"/>
      <w:marLeft w:val="0"/>
      <w:marRight w:val="0"/>
      <w:marTop w:val="0"/>
      <w:marBottom w:val="0"/>
      <w:divBdr>
        <w:top w:val="none" w:sz="0" w:space="0" w:color="auto"/>
        <w:left w:val="none" w:sz="0" w:space="0" w:color="auto"/>
        <w:bottom w:val="none" w:sz="0" w:space="0" w:color="auto"/>
        <w:right w:val="none" w:sz="0" w:space="0" w:color="auto"/>
      </w:divBdr>
      <w:divsChild>
        <w:div w:id="1879930472">
          <w:marLeft w:val="0"/>
          <w:marRight w:val="0"/>
          <w:marTop w:val="0"/>
          <w:marBottom w:val="0"/>
          <w:divBdr>
            <w:top w:val="none" w:sz="0" w:space="0" w:color="auto"/>
            <w:left w:val="none" w:sz="0" w:space="0" w:color="auto"/>
            <w:bottom w:val="none" w:sz="0" w:space="0" w:color="auto"/>
            <w:right w:val="none" w:sz="0" w:space="0" w:color="auto"/>
          </w:divBdr>
          <w:divsChild>
            <w:div w:id="597107110">
              <w:marLeft w:val="0"/>
              <w:marRight w:val="0"/>
              <w:marTop w:val="0"/>
              <w:marBottom w:val="0"/>
              <w:divBdr>
                <w:top w:val="none" w:sz="0" w:space="0" w:color="auto"/>
                <w:left w:val="none" w:sz="0" w:space="0" w:color="auto"/>
                <w:bottom w:val="none" w:sz="0" w:space="0" w:color="auto"/>
                <w:right w:val="none" w:sz="0" w:space="0" w:color="auto"/>
              </w:divBdr>
              <w:divsChild>
                <w:div w:id="1690909761">
                  <w:marLeft w:val="0"/>
                  <w:marRight w:val="0"/>
                  <w:marTop w:val="0"/>
                  <w:marBottom w:val="0"/>
                  <w:divBdr>
                    <w:top w:val="none" w:sz="0" w:space="0" w:color="auto"/>
                    <w:left w:val="none" w:sz="0" w:space="0" w:color="auto"/>
                    <w:bottom w:val="none" w:sz="0" w:space="0" w:color="auto"/>
                    <w:right w:val="none" w:sz="0" w:space="0" w:color="auto"/>
                  </w:divBdr>
                  <w:divsChild>
                    <w:div w:id="7470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785781">
      <w:bodyDiv w:val="1"/>
      <w:marLeft w:val="0"/>
      <w:marRight w:val="0"/>
      <w:marTop w:val="0"/>
      <w:marBottom w:val="0"/>
      <w:divBdr>
        <w:top w:val="none" w:sz="0" w:space="0" w:color="auto"/>
        <w:left w:val="none" w:sz="0" w:space="0" w:color="auto"/>
        <w:bottom w:val="none" w:sz="0" w:space="0" w:color="auto"/>
        <w:right w:val="none" w:sz="0" w:space="0" w:color="auto"/>
      </w:divBdr>
      <w:divsChild>
        <w:div w:id="2091581868">
          <w:marLeft w:val="0"/>
          <w:marRight w:val="0"/>
          <w:marTop w:val="0"/>
          <w:marBottom w:val="0"/>
          <w:divBdr>
            <w:top w:val="none" w:sz="0" w:space="0" w:color="auto"/>
            <w:left w:val="none" w:sz="0" w:space="0" w:color="auto"/>
            <w:bottom w:val="none" w:sz="0" w:space="0" w:color="auto"/>
            <w:right w:val="none" w:sz="0" w:space="0" w:color="auto"/>
          </w:divBdr>
          <w:divsChild>
            <w:div w:id="1728648470">
              <w:marLeft w:val="0"/>
              <w:marRight w:val="0"/>
              <w:marTop w:val="0"/>
              <w:marBottom w:val="0"/>
              <w:divBdr>
                <w:top w:val="none" w:sz="0" w:space="0" w:color="auto"/>
                <w:left w:val="none" w:sz="0" w:space="0" w:color="auto"/>
                <w:bottom w:val="none" w:sz="0" w:space="0" w:color="auto"/>
                <w:right w:val="none" w:sz="0" w:space="0" w:color="auto"/>
              </w:divBdr>
              <w:divsChild>
                <w:div w:id="519390979">
                  <w:marLeft w:val="0"/>
                  <w:marRight w:val="0"/>
                  <w:marTop w:val="0"/>
                  <w:marBottom w:val="0"/>
                  <w:divBdr>
                    <w:top w:val="none" w:sz="0" w:space="0" w:color="auto"/>
                    <w:left w:val="none" w:sz="0" w:space="0" w:color="auto"/>
                    <w:bottom w:val="none" w:sz="0" w:space="0" w:color="auto"/>
                    <w:right w:val="none" w:sz="0" w:space="0" w:color="auto"/>
                  </w:divBdr>
                  <w:divsChild>
                    <w:div w:id="57284877">
                      <w:marLeft w:val="0"/>
                      <w:marRight w:val="0"/>
                      <w:marTop w:val="0"/>
                      <w:marBottom w:val="0"/>
                      <w:divBdr>
                        <w:top w:val="none" w:sz="0" w:space="0" w:color="auto"/>
                        <w:left w:val="none" w:sz="0" w:space="0" w:color="auto"/>
                        <w:bottom w:val="none" w:sz="0" w:space="0" w:color="auto"/>
                        <w:right w:val="none" w:sz="0" w:space="0" w:color="auto"/>
                      </w:divBdr>
                      <w:divsChild>
                        <w:div w:id="121846241">
                          <w:marLeft w:val="0"/>
                          <w:marRight w:val="0"/>
                          <w:marTop w:val="0"/>
                          <w:marBottom w:val="0"/>
                          <w:divBdr>
                            <w:top w:val="none" w:sz="0" w:space="0" w:color="auto"/>
                            <w:left w:val="none" w:sz="0" w:space="0" w:color="auto"/>
                            <w:bottom w:val="none" w:sz="0" w:space="0" w:color="auto"/>
                            <w:right w:val="none" w:sz="0" w:space="0" w:color="auto"/>
                          </w:divBdr>
                          <w:divsChild>
                            <w:div w:id="1640720465">
                              <w:marLeft w:val="0"/>
                              <w:marRight w:val="0"/>
                              <w:marTop w:val="0"/>
                              <w:marBottom w:val="0"/>
                              <w:divBdr>
                                <w:top w:val="none" w:sz="0" w:space="0" w:color="auto"/>
                                <w:left w:val="none" w:sz="0" w:space="0" w:color="auto"/>
                                <w:bottom w:val="none" w:sz="0" w:space="0" w:color="auto"/>
                                <w:right w:val="none" w:sz="0" w:space="0" w:color="auto"/>
                              </w:divBdr>
                              <w:divsChild>
                                <w:div w:id="26254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77460">
                          <w:marLeft w:val="0"/>
                          <w:marRight w:val="0"/>
                          <w:marTop w:val="0"/>
                          <w:marBottom w:val="0"/>
                          <w:divBdr>
                            <w:top w:val="none" w:sz="0" w:space="0" w:color="auto"/>
                            <w:left w:val="none" w:sz="0" w:space="0" w:color="auto"/>
                            <w:bottom w:val="none" w:sz="0" w:space="0" w:color="auto"/>
                            <w:right w:val="none" w:sz="0" w:space="0" w:color="auto"/>
                          </w:divBdr>
                          <w:divsChild>
                            <w:div w:id="94710724">
                              <w:marLeft w:val="0"/>
                              <w:marRight w:val="0"/>
                              <w:marTop w:val="0"/>
                              <w:marBottom w:val="0"/>
                              <w:divBdr>
                                <w:top w:val="none" w:sz="0" w:space="0" w:color="auto"/>
                                <w:left w:val="none" w:sz="0" w:space="0" w:color="auto"/>
                                <w:bottom w:val="none" w:sz="0" w:space="0" w:color="auto"/>
                                <w:right w:val="none" w:sz="0" w:space="0" w:color="auto"/>
                              </w:divBdr>
                              <w:divsChild>
                                <w:div w:id="1249651682">
                                  <w:marLeft w:val="0"/>
                                  <w:marRight w:val="0"/>
                                  <w:marTop w:val="0"/>
                                  <w:marBottom w:val="0"/>
                                  <w:divBdr>
                                    <w:top w:val="none" w:sz="0" w:space="0" w:color="auto"/>
                                    <w:left w:val="none" w:sz="0" w:space="0" w:color="auto"/>
                                    <w:bottom w:val="none" w:sz="0" w:space="0" w:color="auto"/>
                                    <w:right w:val="none" w:sz="0" w:space="0" w:color="auto"/>
                                  </w:divBdr>
                                  <w:divsChild>
                                    <w:div w:id="296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293735">
      <w:bodyDiv w:val="1"/>
      <w:marLeft w:val="0"/>
      <w:marRight w:val="0"/>
      <w:marTop w:val="0"/>
      <w:marBottom w:val="0"/>
      <w:divBdr>
        <w:top w:val="none" w:sz="0" w:space="0" w:color="auto"/>
        <w:left w:val="none" w:sz="0" w:space="0" w:color="auto"/>
        <w:bottom w:val="none" w:sz="0" w:space="0" w:color="auto"/>
        <w:right w:val="none" w:sz="0" w:space="0" w:color="auto"/>
      </w:divBdr>
    </w:div>
    <w:div w:id="941381456">
      <w:bodyDiv w:val="1"/>
      <w:marLeft w:val="0"/>
      <w:marRight w:val="0"/>
      <w:marTop w:val="0"/>
      <w:marBottom w:val="0"/>
      <w:divBdr>
        <w:top w:val="none" w:sz="0" w:space="0" w:color="auto"/>
        <w:left w:val="none" w:sz="0" w:space="0" w:color="auto"/>
        <w:bottom w:val="none" w:sz="0" w:space="0" w:color="auto"/>
        <w:right w:val="none" w:sz="0" w:space="0" w:color="auto"/>
      </w:divBdr>
      <w:divsChild>
        <w:div w:id="973212583">
          <w:marLeft w:val="0"/>
          <w:marRight w:val="0"/>
          <w:marTop w:val="0"/>
          <w:marBottom w:val="0"/>
          <w:divBdr>
            <w:top w:val="none" w:sz="0" w:space="0" w:color="auto"/>
            <w:left w:val="none" w:sz="0" w:space="0" w:color="auto"/>
            <w:bottom w:val="none" w:sz="0" w:space="0" w:color="auto"/>
            <w:right w:val="none" w:sz="0" w:space="0" w:color="auto"/>
          </w:divBdr>
        </w:div>
        <w:div w:id="1991247133">
          <w:marLeft w:val="0"/>
          <w:marRight w:val="0"/>
          <w:marTop w:val="0"/>
          <w:marBottom w:val="0"/>
          <w:divBdr>
            <w:top w:val="none" w:sz="0" w:space="0" w:color="auto"/>
            <w:left w:val="none" w:sz="0" w:space="0" w:color="auto"/>
            <w:bottom w:val="none" w:sz="0" w:space="0" w:color="auto"/>
            <w:right w:val="none" w:sz="0" w:space="0" w:color="auto"/>
          </w:divBdr>
        </w:div>
        <w:div w:id="2056154458">
          <w:marLeft w:val="0"/>
          <w:marRight w:val="0"/>
          <w:marTop w:val="0"/>
          <w:marBottom w:val="0"/>
          <w:divBdr>
            <w:top w:val="none" w:sz="0" w:space="0" w:color="auto"/>
            <w:left w:val="none" w:sz="0" w:space="0" w:color="auto"/>
            <w:bottom w:val="none" w:sz="0" w:space="0" w:color="auto"/>
            <w:right w:val="none" w:sz="0" w:space="0" w:color="auto"/>
          </w:divBdr>
        </w:div>
      </w:divsChild>
    </w:div>
    <w:div w:id="955335556">
      <w:bodyDiv w:val="1"/>
      <w:marLeft w:val="0"/>
      <w:marRight w:val="0"/>
      <w:marTop w:val="0"/>
      <w:marBottom w:val="0"/>
      <w:divBdr>
        <w:top w:val="none" w:sz="0" w:space="0" w:color="auto"/>
        <w:left w:val="none" w:sz="0" w:space="0" w:color="auto"/>
        <w:bottom w:val="none" w:sz="0" w:space="0" w:color="auto"/>
        <w:right w:val="none" w:sz="0" w:space="0" w:color="auto"/>
      </w:divBdr>
      <w:divsChild>
        <w:div w:id="429088606">
          <w:marLeft w:val="0"/>
          <w:marRight w:val="0"/>
          <w:marTop w:val="0"/>
          <w:marBottom w:val="0"/>
          <w:divBdr>
            <w:top w:val="none" w:sz="0" w:space="0" w:color="auto"/>
            <w:left w:val="none" w:sz="0" w:space="0" w:color="auto"/>
            <w:bottom w:val="none" w:sz="0" w:space="0" w:color="auto"/>
            <w:right w:val="none" w:sz="0" w:space="0" w:color="auto"/>
          </w:divBdr>
          <w:divsChild>
            <w:div w:id="786586137">
              <w:marLeft w:val="0"/>
              <w:marRight w:val="0"/>
              <w:marTop w:val="0"/>
              <w:marBottom w:val="0"/>
              <w:divBdr>
                <w:top w:val="none" w:sz="0" w:space="0" w:color="auto"/>
                <w:left w:val="none" w:sz="0" w:space="0" w:color="auto"/>
                <w:bottom w:val="none" w:sz="0" w:space="0" w:color="auto"/>
                <w:right w:val="none" w:sz="0" w:space="0" w:color="auto"/>
              </w:divBdr>
            </w:div>
          </w:divsChild>
        </w:div>
        <w:div w:id="694310334">
          <w:marLeft w:val="0"/>
          <w:marRight w:val="0"/>
          <w:marTop w:val="0"/>
          <w:marBottom w:val="0"/>
          <w:divBdr>
            <w:top w:val="none" w:sz="0" w:space="0" w:color="auto"/>
            <w:left w:val="none" w:sz="0" w:space="0" w:color="auto"/>
            <w:bottom w:val="none" w:sz="0" w:space="0" w:color="auto"/>
            <w:right w:val="none" w:sz="0" w:space="0" w:color="auto"/>
          </w:divBdr>
          <w:divsChild>
            <w:div w:id="967593210">
              <w:marLeft w:val="0"/>
              <w:marRight w:val="0"/>
              <w:marTop w:val="0"/>
              <w:marBottom w:val="0"/>
              <w:divBdr>
                <w:top w:val="none" w:sz="0" w:space="0" w:color="auto"/>
                <w:left w:val="none" w:sz="0" w:space="0" w:color="auto"/>
                <w:bottom w:val="none" w:sz="0" w:space="0" w:color="auto"/>
                <w:right w:val="none" w:sz="0" w:space="0" w:color="auto"/>
              </w:divBdr>
            </w:div>
          </w:divsChild>
        </w:div>
        <w:div w:id="1076051930">
          <w:marLeft w:val="0"/>
          <w:marRight w:val="0"/>
          <w:marTop w:val="0"/>
          <w:marBottom w:val="0"/>
          <w:divBdr>
            <w:top w:val="none" w:sz="0" w:space="0" w:color="auto"/>
            <w:left w:val="none" w:sz="0" w:space="0" w:color="auto"/>
            <w:bottom w:val="none" w:sz="0" w:space="0" w:color="auto"/>
            <w:right w:val="none" w:sz="0" w:space="0" w:color="auto"/>
          </w:divBdr>
          <w:divsChild>
            <w:div w:id="1404569148">
              <w:marLeft w:val="0"/>
              <w:marRight w:val="0"/>
              <w:marTop w:val="0"/>
              <w:marBottom w:val="0"/>
              <w:divBdr>
                <w:top w:val="none" w:sz="0" w:space="0" w:color="auto"/>
                <w:left w:val="none" w:sz="0" w:space="0" w:color="auto"/>
                <w:bottom w:val="none" w:sz="0" w:space="0" w:color="auto"/>
                <w:right w:val="none" w:sz="0" w:space="0" w:color="auto"/>
              </w:divBdr>
            </w:div>
          </w:divsChild>
        </w:div>
        <w:div w:id="1691102891">
          <w:marLeft w:val="0"/>
          <w:marRight w:val="0"/>
          <w:marTop w:val="0"/>
          <w:marBottom w:val="0"/>
          <w:divBdr>
            <w:top w:val="none" w:sz="0" w:space="0" w:color="auto"/>
            <w:left w:val="none" w:sz="0" w:space="0" w:color="auto"/>
            <w:bottom w:val="none" w:sz="0" w:space="0" w:color="auto"/>
            <w:right w:val="none" w:sz="0" w:space="0" w:color="auto"/>
          </w:divBdr>
          <w:divsChild>
            <w:div w:id="121172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8560">
      <w:bodyDiv w:val="1"/>
      <w:marLeft w:val="0"/>
      <w:marRight w:val="0"/>
      <w:marTop w:val="0"/>
      <w:marBottom w:val="0"/>
      <w:divBdr>
        <w:top w:val="none" w:sz="0" w:space="0" w:color="auto"/>
        <w:left w:val="none" w:sz="0" w:space="0" w:color="auto"/>
        <w:bottom w:val="none" w:sz="0" w:space="0" w:color="auto"/>
        <w:right w:val="none" w:sz="0" w:space="0" w:color="auto"/>
      </w:divBdr>
    </w:div>
    <w:div w:id="1062755505">
      <w:bodyDiv w:val="1"/>
      <w:marLeft w:val="0"/>
      <w:marRight w:val="0"/>
      <w:marTop w:val="0"/>
      <w:marBottom w:val="0"/>
      <w:divBdr>
        <w:top w:val="none" w:sz="0" w:space="0" w:color="auto"/>
        <w:left w:val="none" w:sz="0" w:space="0" w:color="auto"/>
        <w:bottom w:val="none" w:sz="0" w:space="0" w:color="auto"/>
        <w:right w:val="none" w:sz="0" w:space="0" w:color="auto"/>
      </w:divBdr>
      <w:divsChild>
        <w:div w:id="2056001509">
          <w:marLeft w:val="0"/>
          <w:marRight w:val="0"/>
          <w:marTop w:val="0"/>
          <w:marBottom w:val="0"/>
          <w:divBdr>
            <w:top w:val="single" w:sz="2" w:space="0" w:color="auto"/>
            <w:left w:val="single" w:sz="2" w:space="0" w:color="auto"/>
            <w:bottom w:val="single" w:sz="2" w:space="0" w:color="auto"/>
            <w:right w:val="single" w:sz="2" w:space="0" w:color="auto"/>
          </w:divBdr>
          <w:divsChild>
            <w:div w:id="2020427087">
              <w:marLeft w:val="0"/>
              <w:marRight w:val="0"/>
              <w:marTop w:val="0"/>
              <w:marBottom w:val="0"/>
              <w:divBdr>
                <w:top w:val="single" w:sz="2" w:space="0" w:color="auto"/>
                <w:left w:val="single" w:sz="2" w:space="0" w:color="auto"/>
                <w:bottom w:val="single" w:sz="2" w:space="0" w:color="auto"/>
                <w:right w:val="single" w:sz="2" w:space="0" w:color="auto"/>
              </w:divBdr>
              <w:divsChild>
                <w:div w:id="1536575403">
                  <w:marLeft w:val="0"/>
                  <w:marRight w:val="0"/>
                  <w:marTop w:val="0"/>
                  <w:marBottom w:val="0"/>
                  <w:divBdr>
                    <w:top w:val="single" w:sz="2" w:space="0" w:color="auto"/>
                    <w:left w:val="single" w:sz="2" w:space="0" w:color="auto"/>
                    <w:bottom w:val="single" w:sz="2" w:space="0" w:color="auto"/>
                    <w:right w:val="single" w:sz="2" w:space="0" w:color="auto"/>
                  </w:divBdr>
                  <w:divsChild>
                    <w:div w:id="1095008170">
                      <w:marLeft w:val="0"/>
                      <w:marRight w:val="0"/>
                      <w:marTop w:val="0"/>
                      <w:marBottom w:val="0"/>
                      <w:divBdr>
                        <w:top w:val="single" w:sz="2" w:space="0" w:color="auto"/>
                        <w:left w:val="single" w:sz="2" w:space="0" w:color="auto"/>
                        <w:bottom w:val="single" w:sz="2" w:space="0" w:color="auto"/>
                        <w:right w:val="single" w:sz="2" w:space="0" w:color="auto"/>
                      </w:divBdr>
                      <w:divsChild>
                        <w:div w:id="538201599">
                          <w:marLeft w:val="0"/>
                          <w:marRight w:val="0"/>
                          <w:marTop w:val="0"/>
                          <w:marBottom w:val="0"/>
                          <w:divBdr>
                            <w:top w:val="single" w:sz="2" w:space="0" w:color="auto"/>
                            <w:left w:val="single" w:sz="2" w:space="0" w:color="auto"/>
                            <w:bottom w:val="single" w:sz="2" w:space="0" w:color="auto"/>
                            <w:right w:val="single" w:sz="2" w:space="0" w:color="auto"/>
                          </w:divBdr>
                          <w:divsChild>
                            <w:div w:id="1125855196">
                              <w:marLeft w:val="0"/>
                              <w:marRight w:val="0"/>
                              <w:marTop w:val="0"/>
                              <w:marBottom w:val="0"/>
                              <w:divBdr>
                                <w:top w:val="single" w:sz="2" w:space="0" w:color="auto"/>
                                <w:left w:val="single" w:sz="2" w:space="0" w:color="auto"/>
                                <w:bottom w:val="single" w:sz="2" w:space="0" w:color="auto"/>
                                <w:right w:val="single" w:sz="2" w:space="0" w:color="auto"/>
                              </w:divBdr>
                              <w:divsChild>
                                <w:div w:id="1238785442">
                                  <w:marLeft w:val="0"/>
                                  <w:marRight w:val="0"/>
                                  <w:marTop w:val="0"/>
                                  <w:marBottom w:val="0"/>
                                  <w:divBdr>
                                    <w:top w:val="single" w:sz="2" w:space="2" w:color="auto"/>
                                    <w:left w:val="single" w:sz="2" w:space="0" w:color="auto"/>
                                    <w:bottom w:val="single" w:sz="2" w:space="0" w:color="auto"/>
                                    <w:right w:val="single" w:sz="2" w:space="0" w:color="auto"/>
                                  </w:divBdr>
                                  <w:divsChild>
                                    <w:div w:id="20968960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110780530">
      <w:bodyDiv w:val="1"/>
      <w:marLeft w:val="0"/>
      <w:marRight w:val="0"/>
      <w:marTop w:val="0"/>
      <w:marBottom w:val="0"/>
      <w:divBdr>
        <w:top w:val="none" w:sz="0" w:space="0" w:color="auto"/>
        <w:left w:val="none" w:sz="0" w:space="0" w:color="auto"/>
        <w:bottom w:val="none" w:sz="0" w:space="0" w:color="auto"/>
        <w:right w:val="none" w:sz="0" w:space="0" w:color="auto"/>
      </w:divBdr>
      <w:divsChild>
        <w:div w:id="525407392">
          <w:marLeft w:val="0"/>
          <w:marRight w:val="0"/>
          <w:marTop w:val="0"/>
          <w:marBottom w:val="0"/>
          <w:divBdr>
            <w:top w:val="none" w:sz="0" w:space="0" w:color="auto"/>
            <w:left w:val="none" w:sz="0" w:space="0" w:color="auto"/>
            <w:bottom w:val="none" w:sz="0" w:space="0" w:color="auto"/>
            <w:right w:val="none" w:sz="0" w:space="0" w:color="auto"/>
          </w:divBdr>
          <w:divsChild>
            <w:div w:id="1890460295">
              <w:marLeft w:val="0"/>
              <w:marRight w:val="0"/>
              <w:marTop w:val="0"/>
              <w:marBottom w:val="0"/>
              <w:divBdr>
                <w:top w:val="none" w:sz="0" w:space="0" w:color="auto"/>
                <w:left w:val="none" w:sz="0" w:space="0" w:color="auto"/>
                <w:bottom w:val="none" w:sz="0" w:space="0" w:color="auto"/>
                <w:right w:val="none" w:sz="0" w:space="0" w:color="auto"/>
              </w:divBdr>
              <w:divsChild>
                <w:div w:id="1959681794">
                  <w:marLeft w:val="0"/>
                  <w:marRight w:val="0"/>
                  <w:marTop w:val="0"/>
                  <w:marBottom w:val="0"/>
                  <w:divBdr>
                    <w:top w:val="none" w:sz="0" w:space="0" w:color="auto"/>
                    <w:left w:val="none" w:sz="0" w:space="0" w:color="auto"/>
                    <w:bottom w:val="none" w:sz="0" w:space="0" w:color="auto"/>
                    <w:right w:val="none" w:sz="0" w:space="0" w:color="auto"/>
                  </w:divBdr>
                  <w:divsChild>
                    <w:div w:id="1787456839">
                      <w:marLeft w:val="0"/>
                      <w:marRight w:val="0"/>
                      <w:marTop w:val="0"/>
                      <w:marBottom w:val="0"/>
                      <w:divBdr>
                        <w:top w:val="none" w:sz="0" w:space="0" w:color="auto"/>
                        <w:left w:val="none" w:sz="0" w:space="0" w:color="auto"/>
                        <w:bottom w:val="none" w:sz="0" w:space="0" w:color="auto"/>
                        <w:right w:val="none" w:sz="0" w:space="0" w:color="auto"/>
                      </w:divBdr>
                      <w:divsChild>
                        <w:div w:id="831675992">
                          <w:marLeft w:val="0"/>
                          <w:marRight w:val="0"/>
                          <w:marTop w:val="0"/>
                          <w:marBottom w:val="0"/>
                          <w:divBdr>
                            <w:top w:val="none" w:sz="0" w:space="0" w:color="auto"/>
                            <w:left w:val="none" w:sz="0" w:space="0" w:color="auto"/>
                            <w:bottom w:val="none" w:sz="0" w:space="0" w:color="auto"/>
                            <w:right w:val="none" w:sz="0" w:space="0" w:color="auto"/>
                          </w:divBdr>
                          <w:divsChild>
                            <w:div w:id="650906072">
                              <w:marLeft w:val="0"/>
                              <w:marRight w:val="0"/>
                              <w:marTop w:val="0"/>
                              <w:marBottom w:val="0"/>
                              <w:divBdr>
                                <w:top w:val="none" w:sz="0" w:space="0" w:color="auto"/>
                                <w:left w:val="none" w:sz="0" w:space="0" w:color="auto"/>
                                <w:bottom w:val="none" w:sz="0" w:space="0" w:color="auto"/>
                                <w:right w:val="none" w:sz="0" w:space="0" w:color="auto"/>
                              </w:divBdr>
                              <w:divsChild>
                                <w:div w:id="1703824270">
                                  <w:marLeft w:val="0"/>
                                  <w:marRight w:val="0"/>
                                  <w:marTop w:val="0"/>
                                  <w:marBottom w:val="0"/>
                                  <w:divBdr>
                                    <w:top w:val="none" w:sz="0" w:space="0" w:color="auto"/>
                                    <w:left w:val="none" w:sz="0" w:space="0" w:color="auto"/>
                                    <w:bottom w:val="none" w:sz="0" w:space="0" w:color="auto"/>
                                    <w:right w:val="none" w:sz="0" w:space="0" w:color="auto"/>
                                  </w:divBdr>
                                  <w:divsChild>
                                    <w:div w:id="19744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163131">
      <w:bodyDiv w:val="1"/>
      <w:marLeft w:val="0"/>
      <w:marRight w:val="0"/>
      <w:marTop w:val="0"/>
      <w:marBottom w:val="0"/>
      <w:divBdr>
        <w:top w:val="none" w:sz="0" w:space="0" w:color="auto"/>
        <w:left w:val="none" w:sz="0" w:space="0" w:color="auto"/>
        <w:bottom w:val="none" w:sz="0" w:space="0" w:color="auto"/>
        <w:right w:val="none" w:sz="0" w:space="0" w:color="auto"/>
      </w:divBdr>
      <w:divsChild>
        <w:div w:id="769659930">
          <w:marLeft w:val="0"/>
          <w:marRight w:val="0"/>
          <w:marTop w:val="0"/>
          <w:marBottom w:val="0"/>
          <w:divBdr>
            <w:top w:val="none" w:sz="0" w:space="0" w:color="auto"/>
            <w:left w:val="none" w:sz="0" w:space="0" w:color="auto"/>
            <w:bottom w:val="none" w:sz="0" w:space="0" w:color="auto"/>
            <w:right w:val="none" w:sz="0" w:space="0" w:color="auto"/>
          </w:divBdr>
        </w:div>
        <w:div w:id="784738802">
          <w:marLeft w:val="0"/>
          <w:marRight w:val="0"/>
          <w:marTop w:val="0"/>
          <w:marBottom w:val="0"/>
          <w:divBdr>
            <w:top w:val="none" w:sz="0" w:space="0" w:color="auto"/>
            <w:left w:val="none" w:sz="0" w:space="0" w:color="auto"/>
            <w:bottom w:val="none" w:sz="0" w:space="0" w:color="auto"/>
            <w:right w:val="none" w:sz="0" w:space="0" w:color="auto"/>
          </w:divBdr>
        </w:div>
        <w:div w:id="894655875">
          <w:marLeft w:val="0"/>
          <w:marRight w:val="0"/>
          <w:marTop w:val="0"/>
          <w:marBottom w:val="0"/>
          <w:divBdr>
            <w:top w:val="none" w:sz="0" w:space="0" w:color="auto"/>
            <w:left w:val="none" w:sz="0" w:space="0" w:color="auto"/>
            <w:bottom w:val="none" w:sz="0" w:space="0" w:color="auto"/>
            <w:right w:val="none" w:sz="0" w:space="0" w:color="auto"/>
          </w:divBdr>
        </w:div>
        <w:div w:id="1278293945">
          <w:marLeft w:val="0"/>
          <w:marRight w:val="0"/>
          <w:marTop w:val="0"/>
          <w:marBottom w:val="0"/>
          <w:divBdr>
            <w:top w:val="none" w:sz="0" w:space="0" w:color="auto"/>
            <w:left w:val="none" w:sz="0" w:space="0" w:color="auto"/>
            <w:bottom w:val="none" w:sz="0" w:space="0" w:color="auto"/>
            <w:right w:val="none" w:sz="0" w:space="0" w:color="auto"/>
          </w:divBdr>
        </w:div>
        <w:div w:id="1297838432">
          <w:marLeft w:val="0"/>
          <w:marRight w:val="0"/>
          <w:marTop w:val="0"/>
          <w:marBottom w:val="0"/>
          <w:divBdr>
            <w:top w:val="none" w:sz="0" w:space="0" w:color="auto"/>
            <w:left w:val="none" w:sz="0" w:space="0" w:color="auto"/>
            <w:bottom w:val="none" w:sz="0" w:space="0" w:color="auto"/>
            <w:right w:val="none" w:sz="0" w:space="0" w:color="auto"/>
          </w:divBdr>
        </w:div>
        <w:div w:id="1561817700">
          <w:marLeft w:val="0"/>
          <w:marRight w:val="0"/>
          <w:marTop w:val="0"/>
          <w:marBottom w:val="0"/>
          <w:divBdr>
            <w:top w:val="none" w:sz="0" w:space="0" w:color="auto"/>
            <w:left w:val="none" w:sz="0" w:space="0" w:color="auto"/>
            <w:bottom w:val="none" w:sz="0" w:space="0" w:color="auto"/>
            <w:right w:val="none" w:sz="0" w:space="0" w:color="auto"/>
          </w:divBdr>
        </w:div>
        <w:div w:id="1701512769">
          <w:marLeft w:val="0"/>
          <w:marRight w:val="0"/>
          <w:marTop w:val="0"/>
          <w:marBottom w:val="0"/>
          <w:divBdr>
            <w:top w:val="none" w:sz="0" w:space="0" w:color="auto"/>
            <w:left w:val="none" w:sz="0" w:space="0" w:color="auto"/>
            <w:bottom w:val="none" w:sz="0" w:space="0" w:color="auto"/>
            <w:right w:val="none" w:sz="0" w:space="0" w:color="auto"/>
          </w:divBdr>
        </w:div>
      </w:divsChild>
    </w:div>
    <w:div w:id="1134639323">
      <w:bodyDiv w:val="1"/>
      <w:marLeft w:val="0"/>
      <w:marRight w:val="0"/>
      <w:marTop w:val="0"/>
      <w:marBottom w:val="0"/>
      <w:divBdr>
        <w:top w:val="none" w:sz="0" w:space="0" w:color="auto"/>
        <w:left w:val="none" w:sz="0" w:space="0" w:color="auto"/>
        <w:bottom w:val="none" w:sz="0" w:space="0" w:color="auto"/>
        <w:right w:val="none" w:sz="0" w:space="0" w:color="auto"/>
      </w:divBdr>
    </w:div>
    <w:div w:id="1135946947">
      <w:bodyDiv w:val="1"/>
      <w:marLeft w:val="0"/>
      <w:marRight w:val="0"/>
      <w:marTop w:val="0"/>
      <w:marBottom w:val="0"/>
      <w:divBdr>
        <w:top w:val="none" w:sz="0" w:space="0" w:color="auto"/>
        <w:left w:val="none" w:sz="0" w:space="0" w:color="auto"/>
        <w:bottom w:val="none" w:sz="0" w:space="0" w:color="auto"/>
        <w:right w:val="none" w:sz="0" w:space="0" w:color="auto"/>
      </w:divBdr>
    </w:div>
    <w:div w:id="1159341749">
      <w:bodyDiv w:val="1"/>
      <w:marLeft w:val="0"/>
      <w:marRight w:val="0"/>
      <w:marTop w:val="0"/>
      <w:marBottom w:val="0"/>
      <w:divBdr>
        <w:top w:val="none" w:sz="0" w:space="0" w:color="auto"/>
        <w:left w:val="none" w:sz="0" w:space="0" w:color="auto"/>
        <w:bottom w:val="none" w:sz="0" w:space="0" w:color="auto"/>
        <w:right w:val="none" w:sz="0" w:space="0" w:color="auto"/>
      </w:divBdr>
    </w:div>
    <w:div w:id="1230462569">
      <w:bodyDiv w:val="1"/>
      <w:marLeft w:val="0"/>
      <w:marRight w:val="0"/>
      <w:marTop w:val="0"/>
      <w:marBottom w:val="0"/>
      <w:divBdr>
        <w:top w:val="none" w:sz="0" w:space="0" w:color="auto"/>
        <w:left w:val="none" w:sz="0" w:space="0" w:color="auto"/>
        <w:bottom w:val="none" w:sz="0" w:space="0" w:color="auto"/>
        <w:right w:val="none" w:sz="0" w:space="0" w:color="auto"/>
      </w:divBdr>
    </w:div>
    <w:div w:id="1231816998">
      <w:bodyDiv w:val="1"/>
      <w:marLeft w:val="0"/>
      <w:marRight w:val="0"/>
      <w:marTop w:val="0"/>
      <w:marBottom w:val="0"/>
      <w:divBdr>
        <w:top w:val="none" w:sz="0" w:space="0" w:color="auto"/>
        <w:left w:val="none" w:sz="0" w:space="0" w:color="auto"/>
        <w:bottom w:val="none" w:sz="0" w:space="0" w:color="auto"/>
        <w:right w:val="none" w:sz="0" w:space="0" w:color="auto"/>
      </w:divBdr>
    </w:div>
    <w:div w:id="1266157661">
      <w:bodyDiv w:val="1"/>
      <w:marLeft w:val="0"/>
      <w:marRight w:val="0"/>
      <w:marTop w:val="0"/>
      <w:marBottom w:val="0"/>
      <w:divBdr>
        <w:top w:val="none" w:sz="0" w:space="0" w:color="auto"/>
        <w:left w:val="none" w:sz="0" w:space="0" w:color="auto"/>
        <w:bottom w:val="none" w:sz="0" w:space="0" w:color="auto"/>
        <w:right w:val="none" w:sz="0" w:space="0" w:color="auto"/>
      </w:divBdr>
    </w:div>
    <w:div w:id="1274286281">
      <w:bodyDiv w:val="1"/>
      <w:marLeft w:val="0"/>
      <w:marRight w:val="0"/>
      <w:marTop w:val="0"/>
      <w:marBottom w:val="0"/>
      <w:divBdr>
        <w:top w:val="none" w:sz="0" w:space="0" w:color="auto"/>
        <w:left w:val="none" w:sz="0" w:space="0" w:color="auto"/>
        <w:bottom w:val="none" w:sz="0" w:space="0" w:color="auto"/>
        <w:right w:val="none" w:sz="0" w:space="0" w:color="auto"/>
      </w:divBdr>
      <w:divsChild>
        <w:div w:id="209806131">
          <w:marLeft w:val="0"/>
          <w:marRight w:val="0"/>
          <w:marTop w:val="0"/>
          <w:marBottom w:val="0"/>
          <w:divBdr>
            <w:top w:val="none" w:sz="0" w:space="0" w:color="auto"/>
            <w:left w:val="none" w:sz="0" w:space="0" w:color="auto"/>
            <w:bottom w:val="none" w:sz="0" w:space="0" w:color="auto"/>
            <w:right w:val="none" w:sz="0" w:space="0" w:color="auto"/>
          </w:divBdr>
          <w:divsChild>
            <w:div w:id="1583682378">
              <w:marLeft w:val="0"/>
              <w:marRight w:val="0"/>
              <w:marTop w:val="0"/>
              <w:marBottom w:val="0"/>
              <w:divBdr>
                <w:top w:val="none" w:sz="0" w:space="0" w:color="auto"/>
                <w:left w:val="none" w:sz="0" w:space="0" w:color="auto"/>
                <w:bottom w:val="none" w:sz="0" w:space="0" w:color="auto"/>
                <w:right w:val="none" w:sz="0" w:space="0" w:color="auto"/>
              </w:divBdr>
              <w:divsChild>
                <w:div w:id="876968604">
                  <w:marLeft w:val="0"/>
                  <w:marRight w:val="0"/>
                  <w:marTop w:val="0"/>
                  <w:marBottom w:val="0"/>
                  <w:divBdr>
                    <w:top w:val="none" w:sz="0" w:space="0" w:color="auto"/>
                    <w:left w:val="none" w:sz="0" w:space="0" w:color="auto"/>
                    <w:bottom w:val="none" w:sz="0" w:space="0" w:color="auto"/>
                    <w:right w:val="none" w:sz="0" w:space="0" w:color="auto"/>
                  </w:divBdr>
                  <w:divsChild>
                    <w:div w:id="156336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312131">
      <w:bodyDiv w:val="1"/>
      <w:marLeft w:val="0"/>
      <w:marRight w:val="0"/>
      <w:marTop w:val="0"/>
      <w:marBottom w:val="0"/>
      <w:divBdr>
        <w:top w:val="none" w:sz="0" w:space="0" w:color="auto"/>
        <w:left w:val="none" w:sz="0" w:space="0" w:color="auto"/>
        <w:bottom w:val="none" w:sz="0" w:space="0" w:color="auto"/>
        <w:right w:val="none" w:sz="0" w:space="0" w:color="auto"/>
      </w:divBdr>
    </w:div>
    <w:div w:id="1290739715">
      <w:bodyDiv w:val="1"/>
      <w:marLeft w:val="0"/>
      <w:marRight w:val="0"/>
      <w:marTop w:val="0"/>
      <w:marBottom w:val="0"/>
      <w:divBdr>
        <w:top w:val="none" w:sz="0" w:space="0" w:color="auto"/>
        <w:left w:val="none" w:sz="0" w:space="0" w:color="auto"/>
        <w:bottom w:val="none" w:sz="0" w:space="0" w:color="auto"/>
        <w:right w:val="none" w:sz="0" w:space="0" w:color="auto"/>
      </w:divBdr>
    </w:div>
    <w:div w:id="1322000261">
      <w:bodyDiv w:val="1"/>
      <w:marLeft w:val="0"/>
      <w:marRight w:val="0"/>
      <w:marTop w:val="0"/>
      <w:marBottom w:val="0"/>
      <w:divBdr>
        <w:top w:val="none" w:sz="0" w:space="0" w:color="auto"/>
        <w:left w:val="none" w:sz="0" w:space="0" w:color="auto"/>
        <w:bottom w:val="none" w:sz="0" w:space="0" w:color="auto"/>
        <w:right w:val="none" w:sz="0" w:space="0" w:color="auto"/>
      </w:divBdr>
    </w:div>
    <w:div w:id="1348412624">
      <w:bodyDiv w:val="1"/>
      <w:marLeft w:val="0"/>
      <w:marRight w:val="0"/>
      <w:marTop w:val="0"/>
      <w:marBottom w:val="0"/>
      <w:divBdr>
        <w:top w:val="none" w:sz="0" w:space="0" w:color="auto"/>
        <w:left w:val="none" w:sz="0" w:space="0" w:color="auto"/>
        <w:bottom w:val="none" w:sz="0" w:space="0" w:color="auto"/>
        <w:right w:val="none" w:sz="0" w:space="0" w:color="auto"/>
      </w:divBdr>
      <w:divsChild>
        <w:div w:id="445126439">
          <w:marLeft w:val="0"/>
          <w:marRight w:val="0"/>
          <w:marTop w:val="0"/>
          <w:marBottom w:val="0"/>
          <w:divBdr>
            <w:top w:val="none" w:sz="0" w:space="0" w:color="auto"/>
            <w:left w:val="none" w:sz="0" w:space="0" w:color="auto"/>
            <w:bottom w:val="none" w:sz="0" w:space="0" w:color="auto"/>
            <w:right w:val="none" w:sz="0" w:space="0" w:color="auto"/>
          </w:divBdr>
          <w:divsChild>
            <w:div w:id="1188257449">
              <w:marLeft w:val="0"/>
              <w:marRight w:val="0"/>
              <w:marTop w:val="0"/>
              <w:marBottom w:val="0"/>
              <w:divBdr>
                <w:top w:val="none" w:sz="0" w:space="0" w:color="auto"/>
                <w:left w:val="none" w:sz="0" w:space="0" w:color="auto"/>
                <w:bottom w:val="none" w:sz="0" w:space="0" w:color="auto"/>
                <w:right w:val="none" w:sz="0" w:space="0" w:color="auto"/>
              </w:divBdr>
              <w:divsChild>
                <w:div w:id="482696701">
                  <w:marLeft w:val="0"/>
                  <w:marRight w:val="0"/>
                  <w:marTop w:val="0"/>
                  <w:marBottom w:val="0"/>
                  <w:divBdr>
                    <w:top w:val="none" w:sz="0" w:space="0" w:color="auto"/>
                    <w:left w:val="none" w:sz="0" w:space="0" w:color="auto"/>
                    <w:bottom w:val="none" w:sz="0" w:space="0" w:color="auto"/>
                    <w:right w:val="none" w:sz="0" w:space="0" w:color="auto"/>
                  </w:divBdr>
                  <w:divsChild>
                    <w:div w:id="1684698858">
                      <w:marLeft w:val="0"/>
                      <w:marRight w:val="0"/>
                      <w:marTop w:val="0"/>
                      <w:marBottom w:val="0"/>
                      <w:divBdr>
                        <w:top w:val="none" w:sz="0" w:space="0" w:color="auto"/>
                        <w:left w:val="none" w:sz="0" w:space="0" w:color="auto"/>
                        <w:bottom w:val="none" w:sz="0" w:space="0" w:color="auto"/>
                        <w:right w:val="none" w:sz="0" w:space="0" w:color="auto"/>
                      </w:divBdr>
                      <w:divsChild>
                        <w:div w:id="775835593">
                          <w:marLeft w:val="0"/>
                          <w:marRight w:val="0"/>
                          <w:marTop w:val="0"/>
                          <w:marBottom w:val="0"/>
                          <w:divBdr>
                            <w:top w:val="none" w:sz="0" w:space="0" w:color="auto"/>
                            <w:left w:val="none" w:sz="0" w:space="0" w:color="auto"/>
                            <w:bottom w:val="none" w:sz="0" w:space="0" w:color="auto"/>
                            <w:right w:val="none" w:sz="0" w:space="0" w:color="auto"/>
                          </w:divBdr>
                          <w:divsChild>
                            <w:div w:id="722407850">
                              <w:marLeft w:val="0"/>
                              <w:marRight w:val="0"/>
                              <w:marTop w:val="0"/>
                              <w:marBottom w:val="0"/>
                              <w:divBdr>
                                <w:top w:val="none" w:sz="0" w:space="0" w:color="auto"/>
                                <w:left w:val="none" w:sz="0" w:space="0" w:color="auto"/>
                                <w:bottom w:val="none" w:sz="0" w:space="0" w:color="auto"/>
                                <w:right w:val="none" w:sz="0" w:space="0" w:color="auto"/>
                              </w:divBdr>
                              <w:divsChild>
                                <w:div w:id="8808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0817">
                          <w:marLeft w:val="0"/>
                          <w:marRight w:val="0"/>
                          <w:marTop w:val="0"/>
                          <w:marBottom w:val="0"/>
                          <w:divBdr>
                            <w:top w:val="none" w:sz="0" w:space="0" w:color="auto"/>
                            <w:left w:val="none" w:sz="0" w:space="0" w:color="auto"/>
                            <w:bottom w:val="none" w:sz="0" w:space="0" w:color="auto"/>
                            <w:right w:val="none" w:sz="0" w:space="0" w:color="auto"/>
                          </w:divBdr>
                          <w:divsChild>
                            <w:div w:id="1461344242">
                              <w:marLeft w:val="0"/>
                              <w:marRight w:val="0"/>
                              <w:marTop w:val="0"/>
                              <w:marBottom w:val="0"/>
                              <w:divBdr>
                                <w:top w:val="none" w:sz="0" w:space="0" w:color="auto"/>
                                <w:left w:val="none" w:sz="0" w:space="0" w:color="auto"/>
                                <w:bottom w:val="none" w:sz="0" w:space="0" w:color="auto"/>
                                <w:right w:val="none" w:sz="0" w:space="0" w:color="auto"/>
                              </w:divBdr>
                              <w:divsChild>
                                <w:div w:id="529340106">
                                  <w:marLeft w:val="0"/>
                                  <w:marRight w:val="0"/>
                                  <w:marTop w:val="0"/>
                                  <w:marBottom w:val="0"/>
                                  <w:divBdr>
                                    <w:top w:val="none" w:sz="0" w:space="0" w:color="auto"/>
                                    <w:left w:val="none" w:sz="0" w:space="0" w:color="auto"/>
                                    <w:bottom w:val="none" w:sz="0" w:space="0" w:color="auto"/>
                                    <w:right w:val="none" w:sz="0" w:space="0" w:color="auto"/>
                                  </w:divBdr>
                                  <w:divsChild>
                                    <w:div w:id="71461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791216">
      <w:bodyDiv w:val="1"/>
      <w:marLeft w:val="0"/>
      <w:marRight w:val="0"/>
      <w:marTop w:val="0"/>
      <w:marBottom w:val="0"/>
      <w:divBdr>
        <w:top w:val="none" w:sz="0" w:space="0" w:color="auto"/>
        <w:left w:val="none" w:sz="0" w:space="0" w:color="auto"/>
        <w:bottom w:val="none" w:sz="0" w:space="0" w:color="auto"/>
        <w:right w:val="none" w:sz="0" w:space="0" w:color="auto"/>
      </w:divBdr>
      <w:divsChild>
        <w:div w:id="339240372">
          <w:marLeft w:val="0"/>
          <w:marRight w:val="0"/>
          <w:marTop w:val="0"/>
          <w:marBottom w:val="0"/>
          <w:divBdr>
            <w:top w:val="none" w:sz="0" w:space="0" w:color="auto"/>
            <w:left w:val="none" w:sz="0" w:space="0" w:color="auto"/>
            <w:bottom w:val="none" w:sz="0" w:space="0" w:color="auto"/>
            <w:right w:val="none" w:sz="0" w:space="0" w:color="auto"/>
          </w:divBdr>
          <w:divsChild>
            <w:div w:id="1630818120">
              <w:marLeft w:val="0"/>
              <w:marRight w:val="0"/>
              <w:marTop w:val="0"/>
              <w:marBottom w:val="0"/>
              <w:divBdr>
                <w:top w:val="none" w:sz="0" w:space="0" w:color="auto"/>
                <w:left w:val="none" w:sz="0" w:space="0" w:color="auto"/>
                <w:bottom w:val="none" w:sz="0" w:space="0" w:color="auto"/>
                <w:right w:val="none" w:sz="0" w:space="0" w:color="auto"/>
              </w:divBdr>
            </w:div>
          </w:divsChild>
        </w:div>
        <w:div w:id="362707129">
          <w:marLeft w:val="0"/>
          <w:marRight w:val="0"/>
          <w:marTop w:val="0"/>
          <w:marBottom w:val="0"/>
          <w:divBdr>
            <w:top w:val="none" w:sz="0" w:space="0" w:color="auto"/>
            <w:left w:val="none" w:sz="0" w:space="0" w:color="auto"/>
            <w:bottom w:val="none" w:sz="0" w:space="0" w:color="auto"/>
            <w:right w:val="none" w:sz="0" w:space="0" w:color="auto"/>
          </w:divBdr>
          <w:divsChild>
            <w:div w:id="114953808">
              <w:marLeft w:val="0"/>
              <w:marRight w:val="0"/>
              <w:marTop w:val="0"/>
              <w:marBottom w:val="0"/>
              <w:divBdr>
                <w:top w:val="none" w:sz="0" w:space="0" w:color="auto"/>
                <w:left w:val="none" w:sz="0" w:space="0" w:color="auto"/>
                <w:bottom w:val="none" w:sz="0" w:space="0" w:color="auto"/>
                <w:right w:val="none" w:sz="0" w:space="0" w:color="auto"/>
              </w:divBdr>
            </w:div>
          </w:divsChild>
        </w:div>
        <w:div w:id="733814867">
          <w:marLeft w:val="0"/>
          <w:marRight w:val="0"/>
          <w:marTop w:val="0"/>
          <w:marBottom w:val="0"/>
          <w:divBdr>
            <w:top w:val="none" w:sz="0" w:space="0" w:color="auto"/>
            <w:left w:val="none" w:sz="0" w:space="0" w:color="auto"/>
            <w:bottom w:val="none" w:sz="0" w:space="0" w:color="auto"/>
            <w:right w:val="none" w:sz="0" w:space="0" w:color="auto"/>
          </w:divBdr>
          <w:divsChild>
            <w:div w:id="1464037405">
              <w:marLeft w:val="0"/>
              <w:marRight w:val="0"/>
              <w:marTop w:val="0"/>
              <w:marBottom w:val="0"/>
              <w:divBdr>
                <w:top w:val="none" w:sz="0" w:space="0" w:color="auto"/>
                <w:left w:val="none" w:sz="0" w:space="0" w:color="auto"/>
                <w:bottom w:val="none" w:sz="0" w:space="0" w:color="auto"/>
                <w:right w:val="none" w:sz="0" w:space="0" w:color="auto"/>
              </w:divBdr>
            </w:div>
          </w:divsChild>
        </w:div>
        <w:div w:id="738753492">
          <w:marLeft w:val="0"/>
          <w:marRight w:val="0"/>
          <w:marTop w:val="0"/>
          <w:marBottom w:val="0"/>
          <w:divBdr>
            <w:top w:val="none" w:sz="0" w:space="0" w:color="auto"/>
            <w:left w:val="none" w:sz="0" w:space="0" w:color="auto"/>
            <w:bottom w:val="none" w:sz="0" w:space="0" w:color="auto"/>
            <w:right w:val="none" w:sz="0" w:space="0" w:color="auto"/>
          </w:divBdr>
          <w:divsChild>
            <w:div w:id="162129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3663">
      <w:bodyDiv w:val="1"/>
      <w:marLeft w:val="0"/>
      <w:marRight w:val="0"/>
      <w:marTop w:val="0"/>
      <w:marBottom w:val="0"/>
      <w:divBdr>
        <w:top w:val="none" w:sz="0" w:space="0" w:color="auto"/>
        <w:left w:val="none" w:sz="0" w:space="0" w:color="auto"/>
        <w:bottom w:val="none" w:sz="0" w:space="0" w:color="auto"/>
        <w:right w:val="none" w:sz="0" w:space="0" w:color="auto"/>
      </w:divBdr>
    </w:div>
    <w:div w:id="1465152793">
      <w:bodyDiv w:val="1"/>
      <w:marLeft w:val="0"/>
      <w:marRight w:val="0"/>
      <w:marTop w:val="0"/>
      <w:marBottom w:val="0"/>
      <w:divBdr>
        <w:top w:val="none" w:sz="0" w:space="0" w:color="auto"/>
        <w:left w:val="none" w:sz="0" w:space="0" w:color="auto"/>
        <w:bottom w:val="none" w:sz="0" w:space="0" w:color="auto"/>
        <w:right w:val="none" w:sz="0" w:space="0" w:color="auto"/>
      </w:divBdr>
      <w:divsChild>
        <w:div w:id="1291939953">
          <w:marLeft w:val="0"/>
          <w:marRight w:val="0"/>
          <w:marTop w:val="0"/>
          <w:marBottom w:val="0"/>
          <w:divBdr>
            <w:top w:val="none" w:sz="0" w:space="0" w:color="auto"/>
            <w:left w:val="none" w:sz="0" w:space="0" w:color="auto"/>
            <w:bottom w:val="none" w:sz="0" w:space="0" w:color="auto"/>
            <w:right w:val="none" w:sz="0" w:space="0" w:color="auto"/>
          </w:divBdr>
          <w:divsChild>
            <w:div w:id="705180934">
              <w:marLeft w:val="0"/>
              <w:marRight w:val="0"/>
              <w:marTop w:val="0"/>
              <w:marBottom w:val="0"/>
              <w:divBdr>
                <w:top w:val="none" w:sz="0" w:space="0" w:color="auto"/>
                <w:left w:val="none" w:sz="0" w:space="0" w:color="auto"/>
                <w:bottom w:val="none" w:sz="0" w:space="0" w:color="auto"/>
                <w:right w:val="none" w:sz="0" w:space="0" w:color="auto"/>
              </w:divBdr>
              <w:divsChild>
                <w:div w:id="2019456136">
                  <w:marLeft w:val="0"/>
                  <w:marRight w:val="0"/>
                  <w:marTop w:val="0"/>
                  <w:marBottom w:val="0"/>
                  <w:divBdr>
                    <w:top w:val="none" w:sz="0" w:space="0" w:color="auto"/>
                    <w:left w:val="none" w:sz="0" w:space="0" w:color="auto"/>
                    <w:bottom w:val="none" w:sz="0" w:space="0" w:color="auto"/>
                    <w:right w:val="none" w:sz="0" w:space="0" w:color="auto"/>
                  </w:divBdr>
                  <w:divsChild>
                    <w:div w:id="1080062250">
                      <w:marLeft w:val="0"/>
                      <w:marRight w:val="0"/>
                      <w:marTop w:val="0"/>
                      <w:marBottom w:val="0"/>
                      <w:divBdr>
                        <w:top w:val="none" w:sz="0" w:space="0" w:color="auto"/>
                        <w:left w:val="none" w:sz="0" w:space="0" w:color="auto"/>
                        <w:bottom w:val="none" w:sz="0" w:space="0" w:color="auto"/>
                        <w:right w:val="none" w:sz="0" w:space="0" w:color="auto"/>
                      </w:divBdr>
                      <w:divsChild>
                        <w:div w:id="1181509184">
                          <w:marLeft w:val="0"/>
                          <w:marRight w:val="0"/>
                          <w:marTop w:val="0"/>
                          <w:marBottom w:val="0"/>
                          <w:divBdr>
                            <w:top w:val="none" w:sz="0" w:space="0" w:color="auto"/>
                            <w:left w:val="none" w:sz="0" w:space="0" w:color="auto"/>
                            <w:bottom w:val="none" w:sz="0" w:space="0" w:color="auto"/>
                            <w:right w:val="none" w:sz="0" w:space="0" w:color="auto"/>
                          </w:divBdr>
                          <w:divsChild>
                            <w:div w:id="328219711">
                              <w:marLeft w:val="0"/>
                              <w:marRight w:val="0"/>
                              <w:marTop w:val="0"/>
                              <w:marBottom w:val="0"/>
                              <w:divBdr>
                                <w:top w:val="none" w:sz="0" w:space="0" w:color="auto"/>
                                <w:left w:val="none" w:sz="0" w:space="0" w:color="auto"/>
                                <w:bottom w:val="none" w:sz="0" w:space="0" w:color="auto"/>
                                <w:right w:val="none" w:sz="0" w:space="0" w:color="auto"/>
                              </w:divBdr>
                              <w:divsChild>
                                <w:div w:id="651565041">
                                  <w:marLeft w:val="0"/>
                                  <w:marRight w:val="0"/>
                                  <w:marTop w:val="0"/>
                                  <w:marBottom w:val="0"/>
                                  <w:divBdr>
                                    <w:top w:val="none" w:sz="0" w:space="0" w:color="auto"/>
                                    <w:left w:val="none" w:sz="0" w:space="0" w:color="auto"/>
                                    <w:bottom w:val="none" w:sz="0" w:space="0" w:color="auto"/>
                                    <w:right w:val="none" w:sz="0" w:space="0" w:color="auto"/>
                                  </w:divBdr>
                                  <w:divsChild>
                                    <w:div w:id="16941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23536">
                          <w:marLeft w:val="0"/>
                          <w:marRight w:val="0"/>
                          <w:marTop w:val="0"/>
                          <w:marBottom w:val="0"/>
                          <w:divBdr>
                            <w:top w:val="none" w:sz="0" w:space="0" w:color="auto"/>
                            <w:left w:val="none" w:sz="0" w:space="0" w:color="auto"/>
                            <w:bottom w:val="none" w:sz="0" w:space="0" w:color="auto"/>
                            <w:right w:val="none" w:sz="0" w:space="0" w:color="auto"/>
                          </w:divBdr>
                          <w:divsChild>
                            <w:div w:id="2011370236">
                              <w:marLeft w:val="0"/>
                              <w:marRight w:val="0"/>
                              <w:marTop w:val="0"/>
                              <w:marBottom w:val="0"/>
                              <w:divBdr>
                                <w:top w:val="none" w:sz="0" w:space="0" w:color="auto"/>
                                <w:left w:val="none" w:sz="0" w:space="0" w:color="auto"/>
                                <w:bottom w:val="none" w:sz="0" w:space="0" w:color="auto"/>
                                <w:right w:val="none" w:sz="0" w:space="0" w:color="auto"/>
                              </w:divBdr>
                              <w:divsChild>
                                <w:div w:id="10999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414718">
      <w:bodyDiv w:val="1"/>
      <w:marLeft w:val="0"/>
      <w:marRight w:val="0"/>
      <w:marTop w:val="0"/>
      <w:marBottom w:val="0"/>
      <w:divBdr>
        <w:top w:val="none" w:sz="0" w:space="0" w:color="auto"/>
        <w:left w:val="none" w:sz="0" w:space="0" w:color="auto"/>
        <w:bottom w:val="none" w:sz="0" w:space="0" w:color="auto"/>
        <w:right w:val="none" w:sz="0" w:space="0" w:color="auto"/>
      </w:divBdr>
      <w:divsChild>
        <w:div w:id="540943237">
          <w:marLeft w:val="0"/>
          <w:marRight w:val="0"/>
          <w:marTop w:val="0"/>
          <w:marBottom w:val="0"/>
          <w:divBdr>
            <w:top w:val="none" w:sz="0" w:space="0" w:color="auto"/>
            <w:left w:val="none" w:sz="0" w:space="0" w:color="auto"/>
            <w:bottom w:val="none" w:sz="0" w:space="0" w:color="auto"/>
            <w:right w:val="none" w:sz="0" w:space="0" w:color="auto"/>
          </w:divBdr>
        </w:div>
        <w:div w:id="998073894">
          <w:marLeft w:val="0"/>
          <w:marRight w:val="0"/>
          <w:marTop w:val="0"/>
          <w:marBottom w:val="0"/>
          <w:divBdr>
            <w:top w:val="none" w:sz="0" w:space="0" w:color="auto"/>
            <w:left w:val="none" w:sz="0" w:space="0" w:color="auto"/>
            <w:bottom w:val="none" w:sz="0" w:space="0" w:color="auto"/>
            <w:right w:val="none" w:sz="0" w:space="0" w:color="auto"/>
          </w:divBdr>
        </w:div>
        <w:div w:id="1351645451">
          <w:marLeft w:val="0"/>
          <w:marRight w:val="0"/>
          <w:marTop w:val="0"/>
          <w:marBottom w:val="0"/>
          <w:divBdr>
            <w:top w:val="none" w:sz="0" w:space="0" w:color="auto"/>
            <w:left w:val="none" w:sz="0" w:space="0" w:color="auto"/>
            <w:bottom w:val="none" w:sz="0" w:space="0" w:color="auto"/>
            <w:right w:val="none" w:sz="0" w:space="0" w:color="auto"/>
          </w:divBdr>
        </w:div>
      </w:divsChild>
    </w:div>
    <w:div w:id="1516797695">
      <w:bodyDiv w:val="1"/>
      <w:marLeft w:val="0"/>
      <w:marRight w:val="0"/>
      <w:marTop w:val="0"/>
      <w:marBottom w:val="0"/>
      <w:divBdr>
        <w:top w:val="none" w:sz="0" w:space="0" w:color="auto"/>
        <w:left w:val="none" w:sz="0" w:space="0" w:color="auto"/>
        <w:bottom w:val="none" w:sz="0" w:space="0" w:color="auto"/>
        <w:right w:val="none" w:sz="0" w:space="0" w:color="auto"/>
      </w:divBdr>
      <w:divsChild>
        <w:div w:id="25838145">
          <w:marLeft w:val="0"/>
          <w:marRight w:val="0"/>
          <w:marTop w:val="0"/>
          <w:marBottom w:val="0"/>
          <w:divBdr>
            <w:top w:val="none" w:sz="0" w:space="0" w:color="auto"/>
            <w:left w:val="none" w:sz="0" w:space="0" w:color="auto"/>
            <w:bottom w:val="none" w:sz="0" w:space="0" w:color="auto"/>
            <w:right w:val="none" w:sz="0" w:space="0" w:color="auto"/>
          </w:divBdr>
          <w:divsChild>
            <w:div w:id="160564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98390">
      <w:bodyDiv w:val="1"/>
      <w:marLeft w:val="0"/>
      <w:marRight w:val="0"/>
      <w:marTop w:val="0"/>
      <w:marBottom w:val="0"/>
      <w:divBdr>
        <w:top w:val="none" w:sz="0" w:space="0" w:color="auto"/>
        <w:left w:val="none" w:sz="0" w:space="0" w:color="auto"/>
        <w:bottom w:val="none" w:sz="0" w:space="0" w:color="auto"/>
        <w:right w:val="none" w:sz="0" w:space="0" w:color="auto"/>
      </w:divBdr>
    </w:div>
    <w:div w:id="1542785754">
      <w:bodyDiv w:val="1"/>
      <w:marLeft w:val="0"/>
      <w:marRight w:val="0"/>
      <w:marTop w:val="0"/>
      <w:marBottom w:val="0"/>
      <w:divBdr>
        <w:top w:val="none" w:sz="0" w:space="0" w:color="auto"/>
        <w:left w:val="none" w:sz="0" w:space="0" w:color="auto"/>
        <w:bottom w:val="none" w:sz="0" w:space="0" w:color="auto"/>
        <w:right w:val="none" w:sz="0" w:space="0" w:color="auto"/>
      </w:divBdr>
    </w:div>
    <w:div w:id="1555654010">
      <w:bodyDiv w:val="1"/>
      <w:marLeft w:val="0"/>
      <w:marRight w:val="0"/>
      <w:marTop w:val="0"/>
      <w:marBottom w:val="0"/>
      <w:divBdr>
        <w:top w:val="none" w:sz="0" w:space="0" w:color="auto"/>
        <w:left w:val="none" w:sz="0" w:space="0" w:color="auto"/>
        <w:bottom w:val="none" w:sz="0" w:space="0" w:color="auto"/>
        <w:right w:val="none" w:sz="0" w:space="0" w:color="auto"/>
      </w:divBdr>
    </w:div>
    <w:div w:id="1582254649">
      <w:bodyDiv w:val="1"/>
      <w:marLeft w:val="0"/>
      <w:marRight w:val="0"/>
      <w:marTop w:val="0"/>
      <w:marBottom w:val="0"/>
      <w:divBdr>
        <w:top w:val="none" w:sz="0" w:space="0" w:color="auto"/>
        <w:left w:val="none" w:sz="0" w:space="0" w:color="auto"/>
        <w:bottom w:val="none" w:sz="0" w:space="0" w:color="auto"/>
        <w:right w:val="none" w:sz="0" w:space="0" w:color="auto"/>
      </w:divBdr>
      <w:divsChild>
        <w:div w:id="1438478383">
          <w:marLeft w:val="0"/>
          <w:marRight w:val="0"/>
          <w:marTop w:val="0"/>
          <w:marBottom w:val="0"/>
          <w:divBdr>
            <w:top w:val="none" w:sz="0" w:space="0" w:color="auto"/>
            <w:left w:val="none" w:sz="0" w:space="0" w:color="auto"/>
            <w:bottom w:val="none" w:sz="0" w:space="0" w:color="auto"/>
            <w:right w:val="none" w:sz="0" w:space="0" w:color="auto"/>
          </w:divBdr>
          <w:divsChild>
            <w:div w:id="730734500">
              <w:marLeft w:val="0"/>
              <w:marRight w:val="0"/>
              <w:marTop w:val="0"/>
              <w:marBottom w:val="0"/>
              <w:divBdr>
                <w:top w:val="none" w:sz="0" w:space="0" w:color="auto"/>
                <w:left w:val="none" w:sz="0" w:space="0" w:color="auto"/>
                <w:bottom w:val="none" w:sz="0" w:space="0" w:color="auto"/>
                <w:right w:val="none" w:sz="0" w:space="0" w:color="auto"/>
              </w:divBdr>
              <w:divsChild>
                <w:div w:id="522327760">
                  <w:marLeft w:val="0"/>
                  <w:marRight w:val="0"/>
                  <w:marTop w:val="0"/>
                  <w:marBottom w:val="0"/>
                  <w:divBdr>
                    <w:top w:val="none" w:sz="0" w:space="0" w:color="auto"/>
                    <w:left w:val="none" w:sz="0" w:space="0" w:color="auto"/>
                    <w:bottom w:val="none" w:sz="0" w:space="0" w:color="auto"/>
                    <w:right w:val="none" w:sz="0" w:space="0" w:color="auto"/>
                  </w:divBdr>
                  <w:divsChild>
                    <w:div w:id="1800687896">
                      <w:marLeft w:val="0"/>
                      <w:marRight w:val="0"/>
                      <w:marTop w:val="0"/>
                      <w:marBottom w:val="0"/>
                      <w:divBdr>
                        <w:top w:val="none" w:sz="0" w:space="0" w:color="auto"/>
                        <w:left w:val="none" w:sz="0" w:space="0" w:color="auto"/>
                        <w:bottom w:val="none" w:sz="0" w:space="0" w:color="auto"/>
                        <w:right w:val="none" w:sz="0" w:space="0" w:color="auto"/>
                      </w:divBdr>
                      <w:divsChild>
                        <w:div w:id="570774413">
                          <w:marLeft w:val="0"/>
                          <w:marRight w:val="0"/>
                          <w:marTop w:val="0"/>
                          <w:marBottom w:val="0"/>
                          <w:divBdr>
                            <w:top w:val="none" w:sz="0" w:space="0" w:color="auto"/>
                            <w:left w:val="none" w:sz="0" w:space="0" w:color="auto"/>
                            <w:bottom w:val="none" w:sz="0" w:space="0" w:color="auto"/>
                            <w:right w:val="none" w:sz="0" w:space="0" w:color="auto"/>
                          </w:divBdr>
                          <w:divsChild>
                            <w:div w:id="762454222">
                              <w:marLeft w:val="0"/>
                              <w:marRight w:val="0"/>
                              <w:marTop w:val="0"/>
                              <w:marBottom w:val="0"/>
                              <w:divBdr>
                                <w:top w:val="none" w:sz="0" w:space="0" w:color="auto"/>
                                <w:left w:val="none" w:sz="0" w:space="0" w:color="auto"/>
                                <w:bottom w:val="none" w:sz="0" w:space="0" w:color="auto"/>
                                <w:right w:val="none" w:sz="0" w:space="0" w:color="auto"/>
                              </w:divBdr>
                              <w:divsChild>
                                <w:div w:id="8489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369314">
                          <w:marLeft w:val="0"/>
                          <w:marRight w:val="0"/>
                          <w:marTop w:val="0"/>
                          <w:marBottom w:val="0"/>
                          <w:divBdr>
                            <w:top w:val="none" w:sz="0" w:space="0" w:color="auto"/>
                            <w:left w:val="none" w:sz="0" w:space="0" w:color="auto"/>
                            <w:bottom w:val="none" w:sz="0" w:space="0" w:color="auto"/>
                            <w:right w:val="none" w:sz="0" w:space="0" w:color="auto"/>
                          </w:divBdr>
                          <w:divsChild>
                            <w:div w:id="1959947238">
                              <w:marLeft w:val="0"/>
                              <w:marRight w:val="0"/>
                              <w:marTop w:val="0"/>
                              <w:marBottom w:val="0"/>
                              <w:divBdr>
                                <w:top w:val="none" w:sz="0" w:space="0" w:color="auto"/>
                                <w:left w:val="none" w:sz="0" w:space="0" w:color="auto"/>
                                <w:bottom w:val="none" w:sz="0" w:space="0" w:color="auto"/>
                                <w:right w:val="none" w:sz="0" w:space="0" w:color="auto"/>
                              </w:divBdr>
                              <w:divsChild>
                                <w:div w:id="1826505616">
                                  <w:marLeft w:val="0"/>
                                  <w:marRight w:val="0"/>
                                  <w:marTop w:val="0"/>
                                  <w:marBottom w:val="0"/>
                                  <w:divBdr>
                                    <w:top w:val="none" w:sz="0" w:space="0" w:color="auto"/>
                                    <w:left w:val="none" w:sz="0" w:space="0" w:color="auto"/>
                                    <w:bottom w:val="none" w:sz="0" w:space="0" w:color="auto"/>
                                    <w:right w:val="none" w:sz="0" w:space="0" w:color="auto"/>
                                  </w:divBdr>
                                  <w:divsChild>
                                    <w:div w:id="180908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338210">
      <w:bodyDiv w:val="1"/>
      <w:marLeft w:val="0"/>
      <w:marRight w:val="0"/>
      <w:marTop w:val="0"/>
      <w:marBottom w:val="0"/>
      <w:divBdr>
        <w:top w:val="none" w:sz="0" w:space="0" w:color="auto"/>
        <w:left w:val="none" w:sz="0" w:space="0" w:color="auto"/>
        <w:bottom w:val="none" w:sz="0" w:space="0" w:color="auto"/>
        <w:right w:val="none" w:sz="0" w:space="0" w:color="auto"/>
      </w:divBdr>
    </w:div>
    <w:div w:id="1624654107">
      <w:bodyDiv w:val="1"/>
      <w:marLeft w:val="0"/>
      <w:marRight w:val="0"/>
      <w:marTop w:val="0"/>
      <w:marBottom w:val="0"/>
      <w:divBdr>
        <w:top w:val="none" w:sz="0" w:space="0" w:color="auto"/>
        <w:left w:val="none" w:sz="0" w:space="0" w:color="auto"/>
        <w:bottom w:val="none" w:sz="0" w:space="0" w:color="auto"/>
        <w:right w:val="none" w:sz="0" w:space="0" w:color="auto"/>
      </w:divBdr>
    </w:div>
    <w:div w:id="1629437786">
      <w:bodyDiv w:val="1"/>
      <w:marLeft w:val="0"/>
      <w:marRight w:val="0"/>
      <w:marTop w:val="0"/>
      <w:marBottom w:val="0"/>
      <w:divBdr>
        <w:top w:val="none" w:sz="0" w:space="0" w:color="auto"/>
        <w:left w:val="none" w:sz="0" w:space="0" w:color="auto"/>
        <w:bottom w:val="none" w:sz="0" w:space="0" w:color="auto"/>
        <w:right w:val="none" w:sz="0" w:space="0" w:color="auto"/>
      </w:divBdr>
      <w:divsChild>
        <w:div w:id="1656835020">
          <w:marLeft w:val="0"/>
          <w:marRight w:val="0"/>
          <w:marTop w:val="0"/>
          <w:marBottom w:val="0"/>
          <w:divBdr>
            <w:top w:val="none" w:sz="0" w:space="0" w:color="auto"/>
            <w:left w:val="none" w:sz="0" w:space="0" w:color="auto"/>
            <w:bottom w:val="none" w:sz="0" w:space="0" w:color="auto"/>
            <w:right w:val="none" w:sz="0" w:space="0" w:color="auto"/>
          </w:divBdr>
          <w:divsChild>
            <w:div w:id="830607107">
              <w:marLeft w:val="0"/>
              <w:marRight w:val="0"/>
              <w:marTop w:val="0"/>
              <w:marBottom w:val="0"/>
              <w:divBdr>
                <w:top w:val="none" w:sz="0" w:space="0" w:color="auto"/>
                <w:left w:val="none" w:sz="0" w:space="0" w:color="auto"/>
                <w:bottom w:val="none" w:sz="0" w:space="0" w:color="auto"/>
                <w:right w:val="none" w:sz="0" w:space="0" w:color="auto"/>
              </w:divBdr>
              <w:divsChild>
                <w:div w:id="2036884488">
                  <w:marLeft w:val="0"/>
                  <w:marRight w:val="0"/>
                  <w:marTop w:val="0"/>
                  <w:marBottom w:val="0"/>
                  <w:divBdr>
                    <w:top w:val="none" w:sz="0" w:space="0" w:color="auto"/>
                    <w:left w:val="none" w:sz="0" w:space="0" w:color="auto"/>
                    <w:bottom w:val="none" w:sz="0" w:space="0" w:color="auto"/>
                    <w:right w:val="none" w:sz="0" w:space="0" w:color="auto"/>
                  </w:divBdr>
                  <w:divsChild>
                    <w:div w:id="80481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535790">
      <w:bodyDiv w:val="1"/>
      <w:marLeft w:val="0"/>
      <w:marRight w:val="0"/>
      <w:marTop w:val="0"/>
      <w:marBottom w:val="0"/>
      <w:divBdr>
        <w:top w:val="none" w:sz="0" w:space="0" w:color="auto"/>
        <w:left w:val="none" w:sz="0" w:space="0" w:color="auto"/>
        <w:bottom w:val="none" w:sz="0" w:space="0" w:color="auto"/>
        <w:right w:val="none" w:sz="0" w:space="0" w:color="auto"/>
      </w:divBdr>
      <w:divsChild>
        <w:div w:id="1049916954">
          <w:marLeft w:val="0"/>
          <w:marRight w:val="0"/>
          <w:marTop w:val="0"/>
          <w:marBottom w:val="0"/>
          <w:divBdr>
            <w:top w:val="none" w:sz="0" w:space="0" w:color="auto"/>
            <w:left w:val="none" w:sz="0" w:space="0" w:color="auto"/>
            <w:bottom w:val="none" w:sz="0" w:space="0" w:color="auto"/>
            <w:right w:val="none" w:sz="0" w:space="0" w:color="auto"/>
          </w:divBdr>
          <w:divsChild>
            <w:div w:id="1464738019">
              <w:marLeft w:val="0"/>
              <w:marRight w:val="0"/>
              <w:marTop w:val="0"/>
              <w:marBottom w:val="0"/>
              <w:divBdr>
                <w:top w:val="none" w:sz="0" w:space="0" w:color="auto"/>
                <w:left w:val="none" w:sz="0" w:space="0" w:color="auto"/>
                <w:bottom w:val="none" w:sz="0" w:space="0" w:color="auto"/>
                <w:right w:val="none" w:sz="0" w:space="0" w:color="auto"/>
              </w:divBdr>
              <w:divsChild>
                <w:div w:id="1385324276">
                  <w:marLeft w:val="0"/>
                  <w:marRight w:val="0"/>
                  <w:marTop w:val="0"/>
                  <w:marBottom w:val="0"/>
                  <w:divBdr>
                    <w:top w:val="none" w:sz="0" w:space="0" w:color="auto"/>
                    <w:left w:val="none" w:sz="0" w:space="0" w:color="auto"/>
                    <w:bottom w:val="none" w:sz="0" w:space="0" w:color="auto"/>
                    <w:right w:val="none" w:sz="0" w:space="0" w:color="auto"/>
                  </w:divBdr>
                  <w:divsChild>
                    <w:div w:id="1887250644">
                      <w:marLeft w:val="0"/>
                      <w:marRight w:val="0"/>
                      <w:marTop w:val="0"/>
                      <w:marBottom w:val="0"/>
                      <w:divBdr>
                        <w:top w:val="none" w:sz="0" w:space="0" w:color="auto"/>
                        <w:left w:val="none" w:sz="0" w:space="0" w:color="auto"/>
                        <w:bottom w:val="none" w:sz="0" w:space="0" w:color="auto"/>
                        <w:right w:val="none" w:sz="0" w:space="0" w:color="auto"/>
                      </w:divBdr>
                      <w:divsChild>
                        <w:div w:id="525796045">
                          <w:marLeft w:val="0"/>
                          <w:marRight w:val="0"/>
                          <w:marTop w:val="0"/>
                          <w:marBottom w:val="0"/>
                          <w:divBdr>
                            <w:top w:val="none" w:sz="0" w:space="0" w:color="auto"/>
                            <w:left w:val="none" w:sz="0" w:space="0" w:color="auto"/>
                            <w:bottom w:val="none" w:sz="0" w:space="0" w:color="auto"/>
                            <w:right w:val="none" w:sz="0" w:space="0" w:color="auto"/>
                          </w:divBdr>
                          <w:divsChild>
                            <w:div w:id="1945916716">
                              <w:marLeft w:val="0"/>
                              <w:marRight w:val="0"/>
                              <w:marTop w:val="0"/>
                              <w:marBottom w:val="0"/>
                              <w:divBdr>
                                <w:top w:val="none" w:sz="0" w:space="0" w:color="auto"/>
                                <w:left w:val="none" w:sz="0" w:space="0" w:color="auto"/>
                                <w:bottom w:val="none" w:sz="0" w:space="0" w:color="auto"/>
                                <w:right w:val="none" w:sz="0" w:space="0" w:color="auto"/>
                              </w:divBdr>
                              <w:divsChild>
                                <w:div w:id="260183258">
                                  <w:marLeft w:val="0"/>
                                  <w:marRight w:val="0"/>
                                  <w:marTop w:val="0"/>
                                  <w:marBottom w:val="0"/>
                                  <w:divBdr>
                                    <w:top w:val="none" w:sz="0" w:space="0" w:color="auto"/>
                                    <w:left w:val="none" w:sz="0" w:space="0" w:color="auto"/>
                                    <w:bottom w:val="none" w:sz="0" w:space="0" w:color="auto"/>
                                    <w:right w:val="none" w:sz="0" w:space="0" w:color="auto"/>
                                  </w:divBdr>
                                  <w:divsChild>
                                    <w:div w:id="6222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42796">
                          <w:marLeft w:val="0"/>
                          <w:marRight w:val="0"/>
                          <w:marTop w:val="0"/>
                          <w:marBottom w:val="0"/>
                          <w:divBdr>
                            <w:top w:val="none" w:sz="0" w:space="0" w:color="auto"/>
                            <w:left w:val="none" w:sz="0" w:space="0" w:color="auto"/>
                            <w:bottom w:val="none" w:sz="0" w:space="0" w:color="auto"/>
                            <w:right w:val="none" w:sz="0" w:space="0" w:color="auto"/>
                          </w:divBdr>
                          <w:divsChild>
                            <w:div w:id="1705405107">
                              <w:marLeft w:val="0"/>
                              <w:marRight w:val="0"/>
                              <w:marTop w:val="0"/>
                              <w:marBottom w:val="0"/>
                              <w:divBdr>
                                <w:top w:val="none" w:sz="0" w:space="0" w:color="auto"/>
                                <w:left w:val="none" w:sz="0" w:space="0" w:color="auto"/>
                                <w:bottom w:val="none" w:sz="0" w:space="0" w:color="auto"/>
                                <w:right w:val="none" w:sz="0" w:space="0" w:color="auto"/>
                              </w:divBdr>
                              <w:divsChild>
                                <w:div w:id="196322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7487941">
      <w:bodyDiv w:val="1"/>
      <w:marLeft w:val="0"/>
      <w:marRight w:val="0"/>
      <w:marTop w:val="0"/>
      <w:marBottom w:val="0"/>
      <w:divBdr>
        <w:top w:val="none" w:sz="0" w:space="0" w:color="auto"/>
        <w:left w:val="none" w:sz="0" w:space="0" w:color="auto"/>
        <w:bottom w:val="none" w:sz="0" w:space="0" w:color="auto"/>
        <w:right w:val="none" w:sz="0" w:space="0" w:color="auto"/>
      </w:divBdr>
      <w:divsChild>
        <w:div w:id="320744030">
          <w:marLeft w:val="0"/>
          <w:marRight w:val="0"/>
          <w:marTop w:val="0"/>
          <w:marBottom w:val="0"/>
          <w:divBdr>
            <w:top w:val="none" w:sz="0" w:space="0" w:color="auto"/>
            <w:left w:val="none" w:sz="0" w:space="0" w:color="auto"/>
            <w:bottom w:val="none" w:sz="0" w:space="0" w:color="auto"/>
            <w:right w:val="none" w:sz="0" w:space="0" w:color="auto"/>
          </w:divBdr>
        </w:div>
        <w:div w:id="667292263">
          <w:marLeft w:val="0"/>
          <w:marRight w:val="0"/>
          <w:marTop w:val="0"/>
          <w:marBottom w:val="0"/>
          <w:divBdr>
            <w:top w:val="none" w:sz="0" w:space="0" w:color="auto"/>
            <w:left w:val="none" w:sz="0" w:space="0" w:color="auto"/>
            <w:bottom w:val="none" w:sz="0" w:space="0" w:color="auto"/>
            <w:right w:val="none" w:sz="0" w:space="0" w:color="auto"/>
          </w:divBdr>
        </w:div>
        <w:div w:id="825901636">
          <w:marLeft w:val="0"/>
          <w:marRight w:val="0"/>
          <w:marTop w:val="0"/>
          <w:marBottom w:val="0"/>
          <w:divBdr>
            <w:top w:val="none" w:sz="0" w:space="0" w:color="auto"/>
            <w:left w:val="none" w:sz="0" w:space="0" w:color="auto"/>
            <w:bottom w:val="none" w:sz="0" w:space="0" w:color="auto"/>
            <w:right w:val="none" w:sz="0" w:space="0" w:color="auto"/>
          </w:divBdr>
        </w:div>
        <w:div w:id="1420370542">
          <w:marLeft w:val="0"/>
          <w:marRight w:val="0"/>
          <w:marTop w:val="0"/>
          <w:marBottom w:val="0"/>
          <w:divBdr>
            <w:top w:val="none" w:sz="0" w:space="0" w:color="auto"/>
            <w:left w:val="none" w:sz="0" w:space="0" w:color="auto"/>
            <w:bottom w:val="none" w:sz="0" w:space="0" w:color="auto"/>
            <w:right w:val="none" w:sz="0" w:space="0" w:color="auto"/>
          </w:divBdr>
        </w:div>
        <w:div w:id="1626962144">
          <w:marLeft w:val="0"/>
          <w:marRight w:val="0"/>
          <w:marTop w:val="0"/>
          <w:marBottom w:val="0"/>
          <w:divBdr>
            <w:top w:val="none" w:sz="0" w:space="0" w:color="auto"/>
            <w:left w:val="none" w:sz="0" w:space="0" w:color="auto"/>
            <w:bottom w:val="none" w:sz="0" w:space="0" w:color="auto"/>
            <w:right w:val="none" w:sz="0" w:space="0" w:color="auto"/>
          </w:divBdr>
        </w:div>
        <w:div w:id="1680500402">
          <w:marLeft w:val="0"/>
          <w:marRight w:val="0"/>
          <w:marTop w:val="0"/>
          <w:marBottom w:val="0"/>
          <w:divBdr>
            <w:top w:val="none" w:sz="0" w:space="0" w:color="auto"/>
            <w:left w:val="none" w:sz="0" w:space="0" w:color="auto"/>
            <w:bottom w:val="none" w:sz="0" w:space="0" w:color="auto"/>
            <w:right w:val="none" w:sz="0" w:space="0" w:color="auto"/>
          </w:divBdr>
        </w:div>
        <w:div w:id="1718626900">
          <w:marLeft w:val="0"/>
          <w:marRight w:val="0"/>
          <w:marTop w:val="0"/>
          <w:marBottom w:val="0"/>
          <w:divBdr>
            <w:top w:val="none" w:sz="0" w:space="0" w:color="auto"/>
            <w:left w:val="none" w:sz="0" w:space="0" w:color="auto"/>
            <w:bottom w:val="none" w:sz="0" w:space="0" w:color="auto"/>
            <w:right w:val="none" w:sz="0" w:space="0" w:color="auto"/>
          </w:divBdr>
        </w:div>
      </w:divsChild>
    </w:div>
    <w:div w:id="1660689164">
      <w:bodyDiv w:val="1"/>
      <w:marLeft w:val="0"/>
      <w:marRight w:val="0"/>
      <w:marTop w:val="0"/>
      <w:marBottom w:val="0"/>
      <w:divBdr>
        <w:top w:val="none" w:sz="0" w:space="0" w:color="auto"/>
        <w:left w:val="none" w:sz="0" w:space="0" w:color="auto"/>
        <w:bottom w:val="none" w:sz="0" w:space="0" w:color="auto"/>
        <w:right w:val="none" w:sz="0" w:space="0" w:color="auto"/>
      </w:divBdr>
      <w:divsChild>
        <w:div w:id="40784481">
          <w:marLeft w:val="0"/>
          <w:marRight w:val="0"/>
          <w:marTop w:val="0"/>
          <w:marBottom w:val="0"/>
          <w:divBdr>
            <w:top w:val="none" w:sz="0" w:space="0" w:color="auto"/>
            <w:left w:val="none" w:sz="0" w:space="0" w:color="auto"/>
            <w:bottom w:val="none" w:sz="0" w:space="0" w:color="auto"/>
            <w:right w:val="none" w:sz="0" w:space="0" w:color="auto"/>
          </w:divBdr>
          <w:divsChild>
            <w:div w:id="910312973">
              <w:marLeft w:val="0"/>
              <w:marRight w:val="0"/>
              <w:marTop w:val="0"/>
              <w:marBottom w:val="0"/>
              <w:divBdr>
                <w:top w:val="none" w:sz="0" w:space="0" w:color="auto"/>
                <w:left w:val="none" w:sz="0" w:space="0" w:color="auto"/>
                <w:bottom w:val="none" w:sz="0" w:space="0" w:color="auto"/>
                <w:right w:val="none" w:sz="0" w:space="0" w:color="auto"/>
              </w:divBdr>
            </w:div>
          </w:divsChild>
        </w:div>
        <w:div w:id="108818427">
          <w:marLeft w:val="0"/>
          <w:marRight w:val="0"/>
          <w:marTop w:val="0"/>
          <w:marBottom w:val="0"/>
          <w:divBdr>
            <w:top w:val="none" w:sz="0" w:space="0" w:color="auto"/>
            <w:left w:val="none" w:sz="0" w:space="0" w:color="auto"/>
            <w:bottom w:val="none" w:sz="0" w:space="0" w:color="auto"/>
            <w:right w:val="none" w:sz="0" w:space="0" w:color="auto"/>
          </w:divBdr>
          <w:divsChild>
            <w:div w:id="362093497">
              <w:marLeft w:val="0"/>
              <w:marRight w:val="0"/>
              <w:marTop w:val="0"/>
              <w:marBottom w:val="0"/>
              <w:divBdr>
                <w:top w:val="none" w:sz="0" w:space="0" w:color="auto"/>
                <w:left w:val="none" w:sz="0" w:space="0" w:color="auto"/>
                <w:bottom w:val="none" w:sz="0" w:space="0" w:color="auto"/>
                <w:right w:val="none" w:sz="0" w:space="0" w:color="auto"/>
              </w:divBdr>
            </w:div>
          </w:divsChild>
        </w:div>
        <w:div w:id="318505851">
          <w:marLeft w:val="0"/>
          <w:marRight w:val="0"/>
          <w:marTop w:val="0"/>
          <w:marBottom w:val="0"/>
          <w:divBdr>
            <w:top w:val="none" w:sz="0" w:space="0" w:color="auto"/>
            <w:left w:val="none" w:sz="0" w:space="0" w:color="auto"/>
            <w:bottom w:val="none" w:sz="0" w:space="0" w:color="auto"/>
            <w:right w:val="none" w:sz="0" w:space="0" w:color="auto"/>
          </w:divBdr>
          <w:divsChild>
            <w:div w:id="846603083">
              <w:marLeft w:val="0"/>
              <w:marRight w:val="0"/>
              <w:marTop w:val="0"/>
              <w:marBottom w:val="0"/>
              <w:divBdr>
                <w:top w:val="none" w:sz="0" w:space="0" w:color="auto"/>
                <w:left w:val="none" w:sz="0" w:space="0" w:color="auto"/>
                <w:bottom w:val="none" w:sz="0" w:space="0" w:color="auto"/>
                <w:right w:val="none" w:sz="0" w:space="0" w:color="auto"/>
              </w:divBdr>
            </w:div>
          </w:divsChild>
        </w:div>
        <w:div w:id="364254071">
          <w:marLeft w:val="0"/>
          <w:marRight w:val="0"/>
          <w:marTop w:val="0"/>
          <w:marBottom w:val="0"/>
          <w:divBdr>
            <w:top w:val="none" w:sz="0" w:space="0" w:color="auto"/>
            <w:left w:val="none" w:sz="0" w:space="0" w:color="auto"/>
            <w:bottom w:val="none" w:sz="0" w:space="0" w:color="auto"/>
            <w:right w:val="none" w:sz="0" w:space="0" w:color="auto"/>
          </w:divBdr>
          <w:divsChild>
            <w:div w:id="67384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72038">
      <w:bodyDiv w:val="1"/>
      <w:marLeft w:val="0"/>
      <w:marRight w:val="0"/>
      <w:marTop w:val="0"/>
      <w:marBottom w:val="0"/>
      <w:divBdr>
        <w:top w:val="none" w:sz="0" w:space="0" w:color="auto"/>
        <w:left w:val="none" w:sz="0" w:space="0" w:color="auto"/>
        <w:bottom w:val="none" w:sz="0" w:space="0" w:color="auto"/>
        <w:right w:val="none" w:sz="0" w:space="0" w:color="auto"/>
      </w:divBdr>
      <w:divsChild>
        <w:div w:id="221984334">
          <w:marLeft w:val="0"/>
          <w:marRight w:val="0"/>
          <w:marTop w:val="0"/>
          <w:marBottom w:val="0"/>
          <w:divBdr>
            <w:top w:val="none" w:sz="0" w:space="0" w:color="auto"/>
            <w:left w:val="none" w:sz="0" w:space="0" w:color="auto"/>
            <w:bottom w:val="none" w:sz="0" w:space="0" w:color="auto"/>
            <w:right w:val="none" w:sz="0" w:space="0" w:color="auto"/>
          </w:divBdr>
          <w:divsChild>
            <w:div w:id="153762036">
              <w:marLeft w:val="0"/>
              <w:marRight w:val="0"/>
              <w:marTop w:val="0"/>
              <w:marBottom w:val="0"/>
              <w:divBdr>
                <w:top w:val="none" w:sz="0" w:space="0" w:color="auto"/>
                <w:left w:val="none" w:sz="0" w:space="0" w:color="auto"/>
                <w:bottom w:val="none" w:sz="0" w:space="0" w:color="auto"/>
                <w:right w:val="none" w:sz="0" w:space="0" w:color="auto"/>
              </w:divBdr>
              <w:divsChild>
                <w:div w:id="1426221307">
                  <w:marLeft w:val="0"/>
                  <w:marRight w:val="0"/>
                  <w:marTop w:val="0"/>
                  <w:marBottom w:val="0"/>
                  <w:divBdr>
                    <w:top w:val="none" w:sz="0" w:space="0" w:color="auto"/>
                    <w:left w:val="none" w:sz="0" w:space="0" w:color="auto"/>
                    <w:bottom w:val="none" w:sz="0" w:space="0" w:color="auto"/>
                    <w:right w:val="none" w:sz="0" w:space="0" w:color="auto"/>
                  </w:divBdr>
                  <w:divsChild>
                    <w:div w:id="149399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688221">
      <w:bodyDiv w:val="1"/>
      <w:marLeft w:val="0"/>
      <w:marRight w:val="0"/>
      <w:marTop w:val="0"/>
      <w:marBottom w:val="0"/>
      <w:divBdr>
        <w:top w:val="none" w:sz="0" w:space="0" w:color="auto"/>
        <w:left w:val="none" w:sz="0" w:space="0" w:color="auto"/>
        <w:bottom w:val="none" w:sz="0" w:space="0" w:color="auto"/>
        <w:right w:val="none" w:sz="0" w:space="0" w:color="auto"/>
      </w:divBdr>
    </w:div>
    <w:div w:id="1713264967">
      <w:bodyDiv w:val="1"/>
      <w:marLeft w:val="0"/>
      <w:marRight w:val="0"/>
      <w:marTop w:val="0"/>
      <w:marBottom w:val="0"/>
      <w:divBdr>
        <w:top w:val="none" w:sz="0" w:space="0" w:color="auto"/>
        <w:left w:val="none" w:sz="0" w:space="0" w:color="auto"/>
        <w:bottom w:val="none" w:sz="0" w:space="0" w:color="auto"/>
        <w:right w:val="none" w:sz="0" w:space="0" w:color="auto"/>
      </w:divBdr>
    </w:div>
    <w:div w:id="1713919564">
      <w:bodyDiv w:val="1"/>
      <w:marLeft w:val="0"/>
      <w:marRight w:val="0"/>
      <w:marTop w:val="0"/>
      <w:marBottom w:val="0"/>
      <w:divBdr>
        <w:top w:val="none" w:sz="0" w:space="0" w:color="auto"/>
        <w:left w:val="none" w:sz="0" w:space="0" w:color="auto"/>
        <w:bottom w:val="none" w:sz="0" w:space="0" w:color="auto"/>
        <w:right w:val="none" w:sz="0" w:space="0" w:color="auto"/>
      </w:divBdr>
      <w:divsChild>
        <w:div w:id="127742625">
          <w:marLeft w:val="0"/>
          <w:marRight w:val="0"/>
          <w:marTop w:val="0"/>
          <w:marBottom w:val="0"/>
          <w:divBdr>
            <w:top w:val="none" w:sz="0" w:space="0" w:color="auto"/>
            <w:left w:val="none" w:sz="0" w:space="0" w:color="auto"/>
            <w:bottom w:val="none" w:sz="0" w:space="0" w:color="auto"/>
            <w:right w:val="none" w:sz="0" w:space="0" w:color="auto"/>
          </w:divBdr>
          <w:divsChild>
            <w:div w:id="369956956">
              <w:marLeft w:val="0"/>
              <w:marRight w:val="0"/>
              <w:marTop w:val="0"/>
              <w:marBottom w:val="0"/>
              <w:divBdr>
                <w:top w:val="none" w:sz="0" w:space="0" w:color="auto"/>
                <w:left w:val="none" w:sz="0" w:space="0" w:color="auto"/>
                <w:bottom w:val="none" w:sz="0" w:space="0" w:color="auto"/>
                <w:right w:val="none" w:sz="0" w:space="0" w:color="auto"/>
              </w:divBdr>
            </w:div>
          </w:divsChild>
        </w:div>
        <w:div w:id="997001703">
          <w:marLeft w:val="0"/>
          <w:marRight w:val="0"/>
          <w:marTop w:val="0"/>
          <w:marBottom w:val="0"/>
          <w:divBdr>
            <w:top w:val="none" w:sz="0" w:space="0" w:color="auto"/>
            <w:left w:val="none" w:sz="0" w:space="0" w:color="auto"/>
            <w:bottom w:val="none" w:sz="0" w:space="0" w:color="auto"/>
            <w:right w:val="none" w:sz="0" w:space="0" w:color="auto"/>
          </w:divBdr>
          <w:divsChild>
            <w:div w:id="2135361898">
              <w:marLeft w:val="0"/>
              <w:marRight w:val="0"/>
              <w:marTop w:val="0"/>
              <w:marBottom w:val="0"/>
              <w:divBdr>
                <w:top w:val="none" w:sz="0" w:space="0" w:color="auto"/>
                <w:left w:val="none" w:sz="0" w:space="0" w:color="auto"/>
                <w:bottom w:val="none" w:sz="0" w:space="0" w:color="auto"/>
                <w:right w:val="none" w:sz="0" w:space="0" w:color="auto"/>
              </w:divBdr>
            </w:div>
          </w:divsChild>
        </w:div>
        <w:div w:id="1487281668">
          <w:marLeft w:val="0"/>
          <w:marRight w:val="0"/>
          <w:marTop w:val="0"/>
          <w:marBottom w:val="0"/>
          <w:divBdr>
            <w:top w:val="none" w:sz="0" w:space="0" w:color="auto"/>
            <w:left w:val="none" w:sz="0" w:space="0" w:color="auto"/>
            <w:bottom w:val="none" w:sz="0" w:space="0" w:color="auto"/>
            <w:right w:val="none" w:sz="0" w:space="0" w:color="auto"/>
          </w:divBdr>
          <w:divsChild>
            <w:div w:id="574365157">
              <w:marLeft w:val="0"/>
              <w:marRight w:val="0"/>
              <w:marTop w:val="0"/>
              <w:marBottom w:val="0"/>
              <w:divBdr>
                <w:top w:val="none" w:sz="0" w:space="0" w:color="auto"/>
                <w:left w:val="none" w:sz="0" w:space="0" w:color="auto"/>
                <w:bottom w:val="none" w:sz="0" w:space="0" w:color="auto"/>
                <w:right w:val="none" w:sz="0" w:space="0" w:color="auto"/>
              </w:divBdr>
            </w:div>
          </w:divsChild>
        </w:div>
        <w:div w:id="1582328445">
          <w:marLeft w:val="0"/>
          <w:marRight w:val="0"/>
          <w:marTop w:val="0"/>
          <w:marBottom w:val="0"/>
          <w:divBdr>
            <w:top w:val="none" w:sz="0" w:space="0" w:color="auto"/>
            <w:left w:val="none" w:sz="0" w:space="0" w:color="auto"/>
            <w:bottom w:val="none" w:sz="0" w:space="0" w:color="auto"/>
            <w:right w:val="none" w:sz="0" w:space="0" w:color="auto"/>
          </w:divBdr>
          <w:divsChild>
            <w:div w:id="32270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41626">
      <w:bodyDiv w:val="1"/>
      <w:marLeft w:val="0"/>
      <w:marRight w:val="0"/>
      <w:marTop w:val="0"/>
      <w:marBottom w:val="0"/>
      <w:divBdr>
        <w:top w:val="none" w:sz="0" w:space="0" w:color="auto"/>
        <w:left w:val="none" w:sz="0" w:space="0" w:color="auto"/>
        <w:bottom w:val="none" w:sz="0" w:space="0" w:color="auto"/>
        <w:right w:val="none" w:sz="0" w:space="0" w:color="auto"/>
      </w:divBdr>
    </w:div>
    <w:div w:id="1755280298">
      <w:bodyDiv w:val="1"/>
      <w:marLeft w:val="0"/>
      <w:marRight w:val="0"/>
      <w:marTop w:val="0"/>
      <w:marBottom w:val="0"/>
      <w:divBdr>
        <w:top w:val="none" w:sz="0" w:space="0" w:color="auto"/>
        <w:left w:val="none" w:sz="0" w:space="0" w:color="auto"/>
        <w:bottom w:val="none" w:sz="0" w:space="0" w:color="auto"/>
        <w:right w:val="none" w:sz="0" w:space="0" w:color="auto"/>
      </w:divBdr>
    </w:div>
    <w:div w:id="1768235797">
      <w:bodyDiv w:val="1"/>
      <w:marLeft w:val="0"/>
      <w:marRight w:val="0"/>
      <w:marTop w:val="0"/>
      <w:marBottom w:val="0"/>
      <w:divBdr>
        <w:top w:val="none" w:sz="0" w:space="0" w:color="auto"/>
        <w:left w:val="none" w:sz="0" w:space="0" w:color="auto"/>
        <w:bottom w:val="none" w:sz="0" w:space="0" w:color="auto"/>
        <w:right w:val="none" w:sz="0" w:space="0" w:color="auto"/>
      </w:divBdr>
    </w:div>
    <w:div w:id="1783499826">
      <w:bodyDiv w:val="1"/>
      <w:marLeft w:val="0"/>
      <w:marRight w:val="0"/>
      <w:marTop w:val="0"/>
      <w:marBottom w:val="0"/>
      <w:divBdr>
        <w:top w:val="none" w:sz="0" w:space="0" w:color="auto"/>
        <w:left w:val="none" w:sz="0" w:space="0" w:color="auto"/>
        <w:bottom w:val="none" w:sz="0" w:space="0" w:color="auto"/>
        <w:right w:val="none" w:sz="0" w:space="0" w:color="auto"/>
      </w:divBdr>
      <w:divsChild>
        <w:div w:id="726684477">
          <w:marLeft w:val="0"/>
          <w:marRight w:val="0"/>
          <w:marTop w:val="0"/>
          <w:marBottom w:val="0"/>
          <w:divBdr>
            <w:top w:val="none" w:sz="0" w:space="0" w:color="auto"/>
            <w:left w:val="none" w:sz="0" w:space="0" w:color="auto"/>
            <w:bottom w:val="none" w:sz="0" w:space="0" w:color="auto"/>
            <w:right w:val="none" w:sz="0" w:space="0" w:color="auto"/>
          </w:divBdr>
          <w:divsChild>
            <w:div w:id="178546736">
              <w:marLeft w:val="0"/>
              <w:marRight w:val="0"/>
              <w:marTop w:val="0"/>
              <w:marBottom w:val="0"/>
              <w:divBdr>
                <w:top w:val="none" w:sz="0" w:space="0" w:color="auto"/>
                <w:left w:val="none" w:sz="0" w:space="0" w:color="auto"/>
                <w:bottom w:val="none" w:sz="0" w:space="0" w:color="auto"/>
                <w:right w:val="none" w:sz="0" w:space="0" w:color="auto"/>
              </w:divBdr>
              <w:divsChild>
                <w:div w:id="1204172404">
                  <w:marLeft w:val="0"/>
                  <w:marRight w:val="0"/>
                  <w:marTop w:val="0"/>
                  <w:marBottom w:val="0"/>
                  <w:divBdr>
                    <w:top w:val="none" w:sz="0" w:space="0" w:color="auto"/>
                    <w:left w:val="none" w:sz="0" w:space="0" w:color="auto"/>
                    <w:bottom w:val="none" w:sz="0" w:space="0" w:color="auto"/>
                    <w:right w:val="none" w:sz="0" w:space="0" w:color="auto"/>
                  </w:divBdr>
                  <w:divsChild>
                    <w:div w:id="2082288825">
                      <w:marLeft w:val="0"/>
                      <w:marRight w:val="0"/>
                      <w:marTop w:val="0"/>
                      <w:marBottom w:val="0"/>
                      <w:divBdr>
                        <w:top w:val="none" w:sz="0" w:space="0" w:color="auto"/>
                        <w:left w:val="none" w:sz="0" w:space="0" w:color="auto"/>
                        <w:bottom w:val="none" w:sz="0" w:space="0" w:color="auto"/>
                        <w:right w:val="none" w:sz="0" w:space="0" w:color="auto"/>
                      </w:divBdr>
                      <w:divsChild>
                        <w:div w:id="1105223076">
                          <w:marLeft w:val="0"/>
                          <w:marRight w:val="0"/>
                          <w:marTop w:val="0"/>
                          <w:marBottom w:val="0"/>
                          <w:divBdr>
                            <w:top w:val="none" w:sz="0" w:space="0" w:color="auto"/>
                            <w:left w:val="none" w:sz="0" w:space="0" w:color="auto"/>
                            <w:bottom w:val="none" w:sz="0" w:space="0" w:color="auto"/>
                            <w:right w:val="none" w:sz="0" w:space="0" w:color="auto"/>
                          </w:divBdr>
                          <w:divsChild>
                            <w:div w:id="1303535581">
                              <w:marLeft w:val="0"/>
                              <w:marRight w:val="0"/>
                              <w:marTop w:val="0"/>
                              <w:marBottom w:val="0"/>
                              <w:divBdr>
                                <w:top w:val="none" w:sz="0" w:space="0" w:color="auto"/>
                                <w:left w:val="none" w:sz="0" w:space="0" w:color="auto"/>
                                <w:bottom w:val="none" w:sz="0" w:space="0" w:color="auto"/>
                                <w:right w:val="none" w:sz="0" w:space="0" w:color="auto"/>
                              </w:divBdr>
                              <w:divsChild>
                                <w:div w:id="1652522432">
                                  <w:marLeft w:val="0"/>
                                  <w:marRight w:val="0"/>
                                  <w:marTop w:val="0"/>
                                  <w:marBottom w:val="0"/>
                                  <w:divBdr>
                                    <w:top w:val="none" w:sz="0" w:space="0" w:color="auto"/>
                                    <w:left w:val="none" w:sz="0" w:space="0" w:color="auto"/>
                                    <w:bottom w:val="none" w:sz="0" w:space="0" w:color="auto"/>
                                    <w:right w:val="none" w:sz="0" w:space="0" w:color="auto"/>
                                  </w:divBdr>
                                  <w:divsChild>
                                    <w:div w:id="212476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4447054">
      <w:bodyDiv w:val="1"/>
      <w:marLeft w:val="0"/>
      <w:marRight w:val="0"/>
      <w:marTop w:val="0"/>
      <w:marBottom w:val="0"/>
      <w:divBdr>
        <w:top w:val="none" w:sz="0" w:space="0" w:color="auto"/>
        <w:left w:val="none" w:sz="0" w:space="0" w:color="auto"/>
        <w:bottom w:val="none" w:sz="0" w:space="0" w:color="auto"/>
        <w:right w:val="none" w:sz="0" w:space="0" w:color="auto"/>
      </w:divBdr>
    </w:div>
    <w:div w:id="1816216528">
      <w:bodyDiv w:val="1"/>
      <w:marLeft w:val="0"/>
      <w:marRight w:val="0"/>
      <w:marTop w:val="0"/>
      <w:marBottom w:val="0"/>
      <w:divBdr>
        <w:top w:val="none" w:sz="0" w:space="0" w:color="auto"/>
        <w:left w:val="none" w:sz="0" w:space="0" w:color="auto"/>
        <w:bottom w:val="none" w:sz="0" w:space="0" w:color="auto"/>
        <w:right w:val="none" w:sz="0" w:space="0" w:color="auto"/>
      </w:divBdr>
      <w:divsChild>
        <w:div w:id="471094888">
          <w:marLeft w:val="0"/>
          <w:marRight w:val="0"/>
          <w:marTop w:val="0"/>
          <w:marBottom w:val="0"/>
          <w:divBdr>
            <w:top w:val="none" w:sz="0" w:space="0" w:color="auto"/>
            <w:left w:val="none" w:sz="0" w:space="0" w:color="auto"/>
            <w:bottom w:val="none" w:sz="0" w:space="0" w:color="auto"/>
            <w:right w:val="none" w:sz="0" w:space="0" w:color="auto"/>
          </w:divBdr>
          <w:divsChild>
            <w:div w:id="1638140676">
              <w:marLeft w:val="0"/>
              <w:marRight w:val="0"/>
              <w:marTop w:val="0"/>
              <w:marBottom w:val="0"/>
              <w:divBdr>
                <w:top w:val="none" w:sz="0" w:space="0" w:color="auto"/>
                <w:left w:val="none" w:sz="0" w:space="0" w:color="auto"/>
                <w:bottom w:val="none" w:sz="0" w:space="0" w:color="auto"/>
                <w:right w:val="none" w:sz="0" w:space="0" w:color="auto"/>
              </w:divBdr>
              <w:divsChild>
                <w:div w:id="67966636">
                  <w:marLeft w:val="0"/>
                  <w:marRight w:val="0"/>
                  <w:marTop w:val="0"/>
                  <w:marBottom w:val="0"/>
                  <w:divBdr>
                    <w:top w:val="none" w:sz="0" w:space="0" w:color="auto"/>
                    <w:left w:val="none" w:sz="0" w:space="0" w:color="auto"/>
                    <w:bottom w:val="none" w:sz="0" w:space="0" w:color="auto"/>
                    <w:right w:val="none" w:sz="0" w:space="0" w:color="auto"/>
                  </w:divBdr>
                  <w:divsChild>
                    <w:div w:id="909272712">
                      <w:marLeft w:val="0"/>
                      <w:marRight w:val="0"/>
                      <w:marTop w:val="0"/>
                      <w:marBottom w:val="0"/>
                      <w:divBdr>
                        <w:top w:val="none" w:sz="0" w:space="0" w:color="auto"/>
                        <w:left w:val="none" w:sz="0" w:space="0" w:color="auto"/>
                        <w:bottom w:val="none" w:sz="0" w:space="0" w:color="auto"/>
                        <w:right w:val="none" w:sz="0" w:space="0" w:color="auto"/>
                      </w:divBdr>
                      <w:divsChild>
                        <w:div w:id="245069926">
                          <w:marLeft w:val="0"/>
                          <w:marRight w:val="0"/>
                          <w:marTop w:val="0"/>
                          <w:marBottom w:val="0"/>
                          <w:divBdr>
                            <w:top w:val="none" w:sz="0" w:space="0" w:color="auto"/>
                            <w:left w:val="none" w:sz="0" w:space="0" w:color="auto"/>
                            <w:bottom w:val="none" w:sz="0" w:space="0" w:color="auto"/>
                            <w:right w:val="none" w:sz="0" w:space="0" w:color="auto"/>
                          </w:divBdr>
                          <w:divsChild>
                            <w:div w:id="612595771">
                              <w:marLeft w:val="0"/>
                              <w:marRight w:val="0"/>
                              <w:marTop w:val="0"/>
                              <w:marBottom w:val="0"/>
                              <w:divBdr>
                                <w:top w:val="none" w:sz="0" w:space="0" w:color="auto"/>
                                <w:left w:val="none" w:sz="0" w:space="0" w:color="auto"/>
                                <w:bottom w:val="none" w:sz="0" w:space="0" w:color="auto"/>
                                <w:right w:val="none" w:sz="0" w:space="0" w:color="auto"/>
                              </w:divBdr>
                              <w:divsChild>
                                <w:div w:id="433669409">
                                  <w:marLeft w:val="0"/>
                                  <w:marRight w:val="0"/>
                                  <w:marTop w:val="0"/>
                                  <w:marBottom w:val="0"/>
                                  <w:divBdr>
                                    <w:top w:val="none" w:sz="0" w:space="0" w:color="auto"/>
                                    <w:left w:val="none" w:sz="0" w:space="0" w:color="auto"/>
                                    <w:bottom w:val="none" w:sz="0" w:space="0" w:color="auto"/>
                                    <w:right w:val="none" w:sz="0" w:space="0" w:color="auto"/>
                                  </w:divBdr>
                                  <w:divsChild>
                                    <w:div w:id="31399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314962">
                          <w:marLeft w:val="0"/>
                          <w:marRight w:val="0"/>
                          <w:marTop w:val="0"/>
                          <w:marBottom w:val="0"/>
                          <w:divBdr>
                            <w:top w:val="none" w:sz="0" w:space="0" w:color="auto"/>
                            <w:left w:val="none" w:sz="0" w:space="0" w:color="auto"/>
                            <w:bottom w:val="none" w:sz="0" w:space="0" w:color="auto"/>
                            <w:right w:val="none" w:sz="0" w:space="0" w:color="auto"/>
                          </w:divBdr>
                          <w:divsChild>
                            <w:div w:id="967661785">
                              <w:marLeft w:val="0"/>
                              <w:marRight w:val="0"/>
                              <w:marTop w:val="0"/>
                              <w:marBottom w:val="0"/>
                              <w:divBdr>
                                <w:top w:val="none" w:sz="0" w:space="0" w:color="auto"/>
                                <w:left w:val="none" w:sz="0" w:space="0" w:color="auto"/>
                                <w:bottom w:val="none" w:sz="0" w:space="0" w:color="auto"/>
                                <w:right w:val="none" w:sz="0" w:space="0" w:color="auto"/>
                              </w:divBdr>
                              <w:divsChild>
                                <w:div w:id="21473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538091">
      <w:bodyDiv w:val="1"/>
      <w:marLeft w:val="0"/>
      <w:marRight w:val="0"/>
      <w:marTop w:val="0"/>
      <w:marBottom w:val="0"/>
      <w:divBdr>
        <w:top w:val="none" w:sz="0" w:space="0" w:color="auto"/>
        <w:left w:val="none" w:sz="0" w:space="0" w:color="auto"/>
        <w:bottom w:val="none" w:sz="0" w:space="0" w:color="auto"/>
        <w:right w:val="none" w:sz="0" w:space="0" w:color="auto"/>
      </w:divBdr>
      <w:divsChild>
        <w:div w:id="1877965302">
          <w:marLeft w:val="0"/>
          <w:marRight w:val="0"/>
          <w:marTop w:val="0"/>
          <w:marBottom w:val="0"/>
          <w:divBdr>
            <w:top w:val="none" w:sz="0" w:space="0" w:color="auto"/>
            <w:left w:val="none" w:sz="0" w:space="0" w:color="auto"/>
            <w:bottom w:val="none" w:sz="0" w:space="0" w:color="auto"/>
            <w:right w:val="none" w:sz="0" w:space="0" w:color="auto"/>
          </w:divBdr>
          <w:divsChild>
            <w:div w:id="465121930">
              <w:marLeft w:val="0"/>
              <w:marRight w:val="0"/>
              <w:marTop w:val="0"/>
              <w:marBottom w:val="0"/>
              <w:divBdr>
                <w:top w:val="none" w:sz="0" w:space="0" w:color="auto"/>
                <w:left w:val="none" w:sz="0" w:space="0" w:color="auto"/>
                <w:bottom w:val="none" w:sz="0" w:space="0" w:color="auto"/>
                <w:right w:val="none" w:sz="0" w:space="0" w:color="auto"/>
              </w:divBdr>
              <w:divsChild>
                <w:div w:id="1732730567">
                  <w:marLeft w:val="0"/>
                  <w:marRight w:val="0"/>
                  <w:marTop w:val="0"/>
                  <w:marBottom w:val="0"/>
                  <w:divBdr>
                    <w:top w:val="none" w:sz="0" w:space="0" w:color="auto"/>
                    <w:left w:val="none" w:sz="0" w:space="0" w:color="auto"/>
                    <w:bottom w:val="none" w:sz="0" w:space="0" w:color="auto"/>
                    <w:right w:val="none" w:sz="0" w:space="0" w:color="auto"/>
                  </w:divBdr>
                  <w:divsChild>
                    <w:div w:id="2046247590">
                      <w:marLeft w:val="0"/>
                      <w:marRight w:val="0"/>
                      <w:marTop w:val="0"/>
                      <w:marBottom w:val="0"/>
                      <w:divBdr>
                        <w:top w:val="none" w:sz="0" w:space="0" w:color="auto"/>
                        <w:left w:val="none" w:sz="0" w:space="0" w:color="auto"/>
                        <w:bottom w:val="none" w:sz="0" w:space="0" w:color="auto"/>
                        <w:right w:val="none" w:sz="0" w:space="0" w:color="auto"/>
                      </w:divBdr>
                      <w:divsChild>
                        <w:div w:id="480197863">
                          <w:marLeft w:val="0"/>
                          <w:marRight w:val="0"/>
                          <w:marTop w:val="0"/>
                          <w:marBottom w:val="0"/>
                          <w:divBdr>
                            <w:top w:val="none" w:sz="0" w:space="0" w:color="auto"/>
                            <w:left w:val="none" w:sz="0" w:space="0" w:color="auto"/>
                            <w:bottom w:val="none" w:sz="0" w:space="0" w:color="auto"/>
                            <w:right w:val="none" w:sz="0" w:space="0" w:color="auto"/>
                          </w:divBdr>
                          <w:divsChild>
                            <w:div w:id="548419211">
                              <w:marLeft w:val="0"/>
                              <w:marRight w:val="0"/>
                              <w:marTop w:val="0"/>
                              <w:marBottom w:val="0"/>
                              <w:divBdr>
                                <w:top w:val="none" w:sz="0" w:space="0" w:color="auto"/>
                                <w:left w:val="none" w:sz="0" w:space="0" w:color="auto"/>
                                <w:bottom w:val="none" w:sz="0" w:space="0" w:color="auto"/>
                                <w:right w:val="none" w:sz="0" w:space="0" w:color="auto"/>
                              </w:divBdr>
                              <w:divsChild>
                                <w:div w:id="1840193449">
                                  <w:marLeft w:val="0"/>
                                  <w:marRight w:val="0"/>
                                  <w:marTop w:val="0"/>
                                  <w:marBottom w:val="0"/>
                                  <w:divBdr>
                                    <w:top w:val="none" w:sz="0" w:space="0" w:color="auto"/>
                                    <w:left w:val="none" w:sz="0" w:space="0" w:color="auto"/>
                                    <w:bottom w:val="none" w:sz="0" w:space="0" w:color="auto"/>
                                    <w:right w:val="none" w:sz="0" w:space="0" w:color="auto"/>
                                  </w:divBdr>
                                  <w:divsChild>
                                    <w:div w:id="6598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866852">
      <w:bodyDiv w:val="1"/>
      <w:marLeft w:val="0"/>
      <w:marRight w:val="0"/>
      <w:marTop w:val="0"/>
      <w:marBottom w:val="0"/>
      <w:divBdr>
        <w:top w:val="none" w:sz="0" w:space="0" w:color="auto"/>
        <w:left w:val="none" w:sz="0" w:space="0" w:color="auto"/>
        <w:bottom w:val="none" w:sz="0" w:space="0" w:color="auto"/>
        <w:right w:val="none" w:sz="0" w:space="0" w:color="auto"/>
      </w:divBdr>
    </w:div>
    <w:div w:id="1852140908">
      <w:bodyDiv w:val="1"/>
      <w:marLeft w:val="0"/>
      <w:marRight w:val="0"/>
      <w:marTop w:val="0"/>
      <w:marBottom w:val="0"/>
      <w:divBdr>
        <w:top w:val="none" w:sz="0" w:space="0" w:color="auto"/>
        <w:left w:val="none" w:sz="0" w:space="0" w:color="auto"/>
        <w:bottom w:val="none" w:sz="0" w:space="0" w:color="auto"/>
        <w:right w:val="none" w:sz="0" w:space="0" w:color="auto"/>
      </w:divBdr>
      <w:divsChild>
        <w:div w:id="335575840">
          <w:marLeft w:val="0"/>
          <w:marRight w:val="0"/>
          <w:marTop w:val="0"/>
          <w:marBottom w:val="0"/>
          <w:divBdr>
            <w:top w:val="none" w:sz="0" w:space="0" w:color="auto"/>
            <w:left w:val="none" w:sz="0" w:space="0" w:color="auto"/>
            <w:bottom w:val="none" w:sz="0" w:space="0" w:color="auto"/>
            <w:right w:val="none" w:sz="0" w:space="0" w:color="auto"/>
          </w:divBdr>
          <w:divsChild>
            <w:div w:id="1880849918">
              <w:marLeft w:val="0"/>
              <w:marRight w:val="0"/>
              <w:marTop w:val="0"/>
              <w:marBottom w:val="0"/>
              <w:divBdr>
                <w:top w:val="none" w:sz="0" w:space="0" w:color="auto"/>
                <w:left w:val="none" w:sz="0" w:space="0" w:color="auto"/>
                <w:bottom w:val="none" w:sz="0" w:space="0" w:color="auto"/>
                <w:right w:val="none" w:sz="0" w:space="0" w:color="auto"/>
              </w:divBdr>
            </w:div>
          </w:divsChild>
        </w:div>
        <w:div w:id="1247692618">
          <w:marLeft w:val="0"/>
          <w:marRight w:val="0"/>
          <w:marTop w:val="0"/>
          <w:marBottom w:val="0"/>
          <w:divBdr>
            <w:top w:val="none" w:sz="0" w:space="0" w:color="auto"/>
            <w:left w:val="none" w:sz="0" w:space="0" w:color="auto"/>
            <w:bottom w:val="none" w:sz="0" w:space="0" w:color="auto"/>
            <w:right w:val="none" w:sz="0" w:space="0" w:color="auto"/>
          </w:divBdr>
          <w:divsChild>
            <w:div w:id="1233585187">
              <w:marLeft w:val="0"/>
              <w:marRight w:val="0"/>
              <w:marTop w:val="0"/>
              <w:marBottom w:val="0"/>
              <w:divBdr>
                <w:top w:val="none" w:sz="0" w:space="0" w:color="auto"/>
                <w:left w:val="none" w:sz="0" w:space="0" w:color="auto"/>
                <w:bottom w:val="none" w:sz="0" w:space="0" w:color="auto"/>
                <w:right w:val="none" w:sz="0" w:space="0" w:color="auto"/>
              </w:divBdr>
            </w:div>
          </w:divsChild>
        </w:div>
        <w:div w:id="1681614965">
          <w:marLeft w:val="0"/>
          <w:marRight w:val="0"/>
          <w:marTop w:val="0"/>
          <w:marBottom w:val="0"/>
          <w:divBdr>
            <w:top w:val="none" w:sz="0" w:space="0" w:color="auto"/>
            <w:left w:val="none" w:sz="0" w:space="0" w:color="auto"/>
            <w:bottom w:val="none" w:sz="0" w:space="0" w:color="auto"/>
            <w:right w:val="none" w:sz="0" w:space="0" w:color="auto"/>
          </w:divBdr>
          <w:divsChild>
            <w:div w:id="1573079381">
              <w:marLeft w:val="0"/>
              <w:marRight w:val="0"/>
              <w:marTop w:val="0"/>
              <w:marBottom w:val="0"/>
              <w:divBdr>
                <w:top w:val="none" w:sz="0" w:space="0" w:color="auto"/>
                <w:left w:val="none" w:sz="0" w:space="0" w:color="auto"/>
                <w:bottom w:val="none" w:sz="0" w:space="0" w:color="auto"/>
                <w:right w:val="none" w:sz="0" w:space="0" w:color="auto"/>
              </w:divBdr>
            </w:div>
          </w:divsChild>
        </w:div>
        <w:div w:id="2056998811">
          <w:marLeft w:val="0"/>
          <w:marRight w:val="0"/>
          <w:marTop w:val="0"/>
          <w:marBottom w:val="0"/>
          <w:divBdr>
            <w:top w:val="none" w:sz="0" w:space="0" w:color="auto"/>
            <w:left w:val="none" w:sz="0" w:space="0" w:color="auto"/>
            <w:bottom w:val="none" w:sz="0" w:space="0" w:color="auto"/>
            <w:right w:val="none" w:sz="0" w:space="0" w:color="auto"/>
          </w:divBdr>
          <w:divsChild>
            <w:div w:id="36379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301433">
      <w:bodyDiv w:val="1"/>
      <w:marLeft w:val="0"/>
      <w:marRight w:val="0"/>
      <w:marTop w:val="0"/>
      <w:marBottom w:val="0"/>
      <w:divBdr>
        <w:top w:val="none" w:sz="0" w:space="0" w:color="auto"/>
        <w:left w:val="none" w:sz="0" w:space="0" w:color="auto"/>
        <w:bottom w:val="none" w:sz="0" w:space="0" w:color="auto"/>
        <w:right w:val="none" w:sz="0" w:space="0" w:color="auto"/>
      </w:divBdr>
    </w:div>
    <w:div w:id="1944651768">
      <w:bodyDiv w:val="1"/>
      <w:marLeft w:val="0"/>
      <w:marRight w:val="0"/>
      <w:marTop w:val="0"/>
      <w:marBottom w:val="0"/>
      <w:divBdr>
        <w:top w:val="none" w:sz="0" w:space="0" w:color="auto"/>
        <w:left w:val="none" w:sz="0" w:space="0" w:color="auto"/>
        <w:bottom w:val="none" w:sz="0" w:space="0" w:color="auto"/>
        <w:right w:val="none" w:sz="0" w:space="0" w:color="auto"/>
      </w:divBdr>
      <w:divsChild>
        <w:div w:id="338236904">
          <w:marLeft w:val="0"/>
          <w:marRight w:val="0"/>
          <w:marTop w:val="0"/>
          <w:marBottom w:val="0"/>
          <w:divBdr>
            <w:top w:val="none" w:sz="0" w:space="0" w:color="auto"/>
            <w:left w:val="none" w:sz="0" w:space="0" w:color="auto"/>
            <w:bottom w:val="none" w:sz="0" w:space="0" w:color="auto"/>
            <w:right w:val="none" w:sz="0" w:space="0" w:color="auto"/>
          </w:divBdr>
          <w:divsChild>
            <w:div w:id="87951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19837">
      <w:bodyDiv w:val="1"/>
      <w:marLeft w:val="0"/>
      <w:marRight w:val="0"/>
      <w:marTop w:val="0"/>
      <w:marBottom w:val="0"/>
      <w:divBdr>
        <w:top w:val="none" w:sz="0" w:space="0" w:color="auto"/>
        <w:left w:val="none" w:sz="0" w:space="0" w:color="auto"/>
        <w:bottom w:val="none" w:sz="0" w:space="0" w:color="auto"/>
        <w:right w:val="none" w:sz="0" w:space="0" w:color="auto"/>
      </w:divBdr>
    </w:div>
    <w:div w:id="1965498375">
      <w:bodyDiv w:val="1"/>
      <w:marLeft w:val="0"/>
      <w:marRight w:val="0"/>
      <w:marTop w:val="0"/>
      <w:marBottom w:val="0"/>
      <w:divBdr>
        <w:top w:val="none" w:sz="0" w:space="0" w:color="auto"/>
        <w:left w:val="none" w:sz="0" w:space="0" w:color="auto"/>
        <w:bottom w:val="none" w:sz="0" w:space="0" w:color="auto"/>
        <w:right w:val="none" w:sz="0" w:space="0" w:color="auto"/>
      </w:divBdr>
    </w:div>
    <w:div w:id="2001616150">
      <w:bodyDiv w:val="1"/>
      <w:marLeft w:val="0"/>
      <w:marRight w:val="0"/>
      <w:marTop w:val="0"/>
      <w:marBottom w:val="0"/>
      <w:divBdr>
        <w:top w:val="none" w:sz="0" w:space="0" w:color="auto"/>
        <w:left w:val="none" w:sz="0" w:space="0" w:color="auto"/>
        <w:bottom w:val="none" w:sz="0" w:space="0" w:color="auto"/>
        <w:right w:val="none" w:sz="0" w:space="0" w:color="auto"/>
      </w:divBdr>
      <w:divsChild>
        <w:div w:id="267853959">
          <w:marLeft w:val="0"/>
          <w:marRight w:val="0"/>
          <w:marTop w:val="0"/>
          <w:marBottom w:val="0"/>
          <w:divBdr>
            <w:top w:val="none" w:sz="0" w:space="0" w:color="auto"/>
            <w:left w:val="none" w:sz="0" w:space="0" w:color="auto"/>
            <w:bottom w:val="none" w:sz="0" w:space="0" w:color="auto"/>
            <w:right w:val="none" w:sz="0" w:space="0" w:color="auto"/>
          </w:divBdr>
          <w:divsChild>
            <w:div w:id="2095545653">
              <w:marLeft w:val="0"/>
              <w:marRight w:val="0"/>
              <w:marTop w:val="0"/>
              <w:marBottom w:val="0"/>
              <w:divBdr>
                <w:top w:val="none" w:sz="0" w:space="0" w:color="auto"/>
                <w:left w:val="none" w:sz="0" w:space="0" w:color="auto"/>
                <w:bottom w:val="none" w:sz="0" w:space="0" w:color="auto"/>
                <w:right w:val="none" w:sz="0" w:space="0" w:color="auto"/>
              </w:divBdr>
              <w:divsChild>
                <w:div w:id="1845978229">
                  <w:marLeft w:val="0"/>
                  <w:marRight w:val="0"/>
                  <w:marTop w:val="0"/>
                  <w:marBottom w:val="0"/>
                  <w:divBdr>
                    <w:top w:val="none" w:sz="0" w:space="0" w:color="auto"/>
                    <w:left w:val="none" w:sz="0" w:space="0" w:color="auto"/>
                    <w:bottom w:val="none" w:sz="0" w:space="0" w:color="auto"/>
                    <w:right w:val="none" w:sz="0" w:space="0" w:color="auto"/>
                  </w:divBdr>
                  <w:divsChild>
                    <w:div w:id="702629162">
                      <w:marLeft w:val="0"/>
                      <w:marRight w:val="0"/>
                      <w:marTop w:val="0"/>
                      <w:marBottom w:val="0"/>
                      <w:divBdr>
                        <w:top w:val="none" w:sz="0" w:space="0" w:color="auto"/>
                        <w:left w:val="none" w:sz="0" w:space="0" w:color="auto"/>
                        <w:bottom w:val="none" w:sz="0" w:space="0" w:color="auto"/>
                        <w:right w:val="none" w:sz="0" w:space="0" w:color="auto"/>
                      </w:divBdr>
                      <w:divsChild>
                        <w:div w:id="865219516">
                          <w:marLeft w:val="0"/>
                          <w:marRight w:val="0"/>
                          <w:marTop w:val="0"/>
                          <w:marBottom w:val="0"/>
                          <w:divBdr>
                            <w:top w:val="none" w:sz="0" w:space="0" w:color="auto"/>
                            <w:left w:val="none" w:sz="0" w:space="0" w:color="auto"/>
                            <w:bottom w:val="none" w:sz="0" w:space="0" w:color="auto"/>
                            <w:right w:val="none" w:sz="0" w:space="0" w:color="auto"/>
                          </w:divBdr>
                          <w:divsChild>
                            <w:div w:id="2099208427">
                              <w:marLeft w:val="0"/>
                              <w:marRight w:val="0"/>
                              <w:marTop w:val="0"/>
                              <w:marBottom w:val="0"/>
                              <w:divBdr>
                                <w:top w:val="none" w:sz="0" w:space="0" w:color="auto"/>
                                <w:left w:val="none" w:sz="0" w:space="0" w:color="auto"/>
                                <w:bottom w:val="none" w:sz="0" w:space="0" w:color="auto"/>
                                <w:right w:val="none" w:sz="0" w:space="0" w:color="auto"/>
                              </w:divBdr>
                              <w:divsChild>
                                <w:div w:id="1437291335">
                                  <w:marLeft w:val="0"/>
                                  <w:marRight w:val="0"/>
                                  <w:marTop w:val="0"/>
                                  <w:marBottom w:val="0"/>
                                  <w:divBdr>
                                    <w:top w:val="none" w:sz="0" w:space="0" w:color="auto"/>
                                    <w:left w:val="none" w:sz="0" w:space="0" w:color="auto"/>
                                    <w:bottom w:val="none" w:sz="0" w:space="0" w:color="auto"/>
                                    <w:right w:val="none" w:sz="0" w:space="0" w:color="auto"/>
                                  </w:divBdr>
                                  <w:divsChild>
                                    <w:div w:id="127143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194513">
                          <w:marLeft w:val="0"/>
                          <w:marRight w:val="0"/>
                          <w:marTop w:val="0"/>
                          <w:marBottom w:val="0"/>
                          <w:divBdr>
                            <w:top w:val="none" w:sz="0" w:space="0" w:color="auto"/>
                            <w:left w:val="none" w:sz="0" w:space="0" w:color="auto"/>
                            <w:bottom w:val="none" w:sz="0" w:space="0" w:color="auto"/>
                            <w:right w:val="none" w:sz="0" w:space="0" w:color="auto"/>
                          </w:divBdr>
                          <w:divsChild>
                            <w:div w:id="411968634">
                              <w:marLeft w:val="0"/>
                              <w:marRight w:val="0"/>
                              <w:marTop w:val="0"/>
                              <w:marBottom w:val="0"/>
                              <w:divBdr>
                                <w:top w:val="none" w:sz="0" w:space="0" w:color="auto"/>
                                <w:left w:val="none" w:sz="0" w:space="0" w:color="auto"/>
                                <w:bottom w:val="none" w:sz="0" w:space="0" w:color="auto"/>
                                <w:right w:val="none" w:sz="0" w:space="0" w:color="auto"/>
                              </w:divBdr>
                              <w:divsChild>
                                <w:div w:id="114176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974429">
      <w:bodyDiv w:val="1"/>
      <w:marLeft w:val="0"/>
      <w:marRight w:val="0"/>
      <w:marTop w:val="0"/>
      <w:marBottom w:val="0"/>
      <w:divBdr>
        <w:top w:val="none" w:sz="0" w:space="0" w:color="auto"/>
        <w:left w:val="none" w:sz="0" w:space="0" w:color="auto"/>
        <w:bottom w:val="none" w:sz="0" w:space="0" w:color="auto"/>
        <w:right w:val="none" w:sz="0" w:space="0" w:color="auto"/>
      </w:divBdr>
    </w:div>
    <w:div w:id="2019849137">
      <w:bodyDiv w:val="1"/>
      <w:marLeft w:val="0"/>
      <w:marRight w:val="0"/>
      <w:marTop w:val="0"/>
      <w:marBottom w:val="0"/>
      <w:divBdr>
        <w:top w:val="none" w:sz="0" w:space="0" w:color="auto"/>
        <w:left w:val="none" w:sz="0" w:space="0" w:color="auto"/>
        <w:bottom w:val="none" w:sz="0" w:space="0" w:color="auto"/>
        <w:right w:val="none" w:sz="0" w:space="0" w:color="auto"/>
      </w:divBdr>
      <w:divsChild>
        <w:div w:id="459997471">
          <w:marLeft w:val="0"/>
          <w:marRight w:val="0"/>
          <w:marTop w:val="0"/>
          <w:marBottom w:val="0"/>
          <w:divBdr>
            <w:top w:val="none" w:sz="0" w:space="0" w:color="auto"/>
            <w:left w:val="none" w:sz="0" w:space="0" w:color="auto"/>
            <w:bottom w:val="none" w:sz="0" w:space="0" w:color="auto"/>
            <w:right w:val="none" w:sz="0" w:space="0" w:color="auto"/>
          </w:divBdr>
          <w:divsChild>
            <w:div w:id="8637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40396">
      <w:bodyDiv w:val="1"/>
      <w:marLeft w:val="0"/>
      <w:marRight w:val="0"/>
      <w:marTop w:val="0"/>
      <w:marBottom w:val="0"/>
      <w:divBdr>
        <w:top w:val="none" w:sz="0" w:space="0" w:color="auto"/>
        <w:left w:val="none" w:sz="0" w:space="0" w:color="auto"/>
        <w:bottom w:val="none" w:sz="0" w:space="0" w:color="auto"/>
        <w:right w:val="none" w:sz="0" w:space="0" w:color="auto"/>
      </w:divBdr>
      <w:divsChild>
        <w:div w:id="641471532">
          <w:marLeft w:val="0"/>
          <w:marRight w:val="0"/>
          <w:marTop w:val="0"/>
          <w:marBottom w:val="0"/>
          <w:divBdr>
            <w:top w:val="none" w:sz="0" w:space="0" w:color="auto"/>
            <w:left w:val="none" w:sz="0" w:space="0" w:color="auto"/>
            <w:bottom w:val="none" w:sz="0" w:space="0" w:color="auto"/>
            <w:right w:val="none" w:sz="0" w:space="0" w:color="auto"/>
          </w:divBdr>
          <w:divsChild>
            <w:div w:id="134029805">
              <w:marLeft w:val="0"/>
              <w:marRight w:val="0"/>
              <w:marTop w:val="0"/>
              <w:marBottom w:val="0"/>
              <w:divBdr>
                <w:top w:val="none" w:sz="0" w:space="0" w:color="auto"/>
                <w:left w:val="none" w:sz="0" w:space="0" w:color="auto"/>
                <w:bottom w:val="none" w:sz="0" w:space="0" w:color="auto"/>
                <w:right w:val="none" w:sz="0" w:space="0" w:color="auto"/>
              </w:divBdr>
              <w:divsChild>
                <w:div w:id="1471827720">
                  <w:marLeft w:val="0"/>
                  <w:marRight w:val="0"/>
                  <w:marTop w:val="0"/>
                  <w:marBottom w:val="0"/>
                  <w:divBdr>
                    <w:top w:val="none" w:sz="0" w:space="0" w:color="auto"/>
                    <w:left w:val="none" w:sz="0" w:space="0" w:color="auto"/>
                    <w:bottom w:val="none" w:sz="0" w:space="0" w:color="auto"/>
                    <w:right w:val="none" w:sz="0" w:space="0" w:color="auto"/>
                  </w:divBdr>
                  <w:divsChild>
                    <w:div w:id="5242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07866">
      <w:bodyDiv w:val="1"/>
      <w:marLeft w:val="0"/>
      <w:marRight w:val="0"/>
      <w:marTop w:val="0"/>
      <w:marBottom w:val="0"/>
      <w:divBdr>
        <w:top w:val="none" w:sz="0" w:space="0" w:color="auto"/>
        <w:left w:val="none" w:sz="0" w:space="0" w:color="auto"/>
        <w:bottom w:val="none" w:sz="0" w:space="0" w:color="auto"/>
        <w:right w:val="none" w:sz="0" w:space="0" w:color="auto"/>
      </w:divBdr>
      <w:divsChild>
        <w:div w:id="1524057734">
          <w:marLeft w:val="0"/>
          <w:marRight w:val="0"/>
          <w:marTop w:val="0"/>
          <w:marBottom w:val="0"/>
          <w:divBdr>
            <w:top w:val="none" w:sz="0" w:space="0" w:color="auto"/>
            <w:left w:val="none" w:sz="0" w:space="0" w:color="auto"/>
            <w:bottom w:val="none" w:sz="0" w:space="0" w:color="auto"/>
            <w:right w:val="none" w:sz="0" w:space="0" w:color="auto"/>
          </w:divBdr>
          <w:divsChild>
            <w:div w:id="14403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77137">
      <w:bodyDiv w:val="1"/>
      <w:marLeft w:val="0"/>
      <w:marRight w:val="0"/>
      <w:marTop w:val="0"/>
      <w:marBottom w:val="0"/>
      <w:divBdr>
        <w:top w:val="none" w:sz="0" w:space="0" w:color="auto"/>
        <w:left w:val="none" w:sz="0" w:space="0" w:color="auto"/>
        <w:bottom w:val="none" w:sz="0" w:space="0" w:color="auto"/>
        <w:right w:val="none" w:sz="0" w:space="0" w:color="auto"/>
      </w:divBdr>
      <w:divsChild>
        <w:div w:id="999117283">
          <w:marLeft w:val="0"/>
          <w:marRight w:val="0"/>
          <w:marTop w:val="0"/>
          <w:marBottom w:val="0"/>
          <w:divBdr>
            <w:top w:val="none" w:sz="0" w:space="0" w:color="auto"/>
            <w:left w:val="none" w:sz="0" w:space="0" w:color="auto"/>
            <w:bottom w:val="none" w:sz="0" w:space="0" w:color="auto"/>
            <w:right w:val="none" w:sz="0" w:space="0" w:color="auto"/>
          </w:divBdr>
          <w:divsChild>
            <w:div w:id="1348747150">
              <w:marLeft w:val="0"/>
              <w:marRight w:val="0"/>
              <w:marTop w:val="0"/>
              <w:marBottom w:val="0"/>
              <w:divBdr>
                <w:top w:val="none" w:sz="0" w:space="0" w:color="auto"/>
                <w:left w:val="none" w:sz="0" w:space="0" w:color="auto"/>
                <w:bottom w:val="none" w:sz="0" w:space="0" w:color="auto"/>
                <w:right w:val="none" w:sz="0" w:space="0" w:color="auto"/>
              </w:divBdr>
              <w:divsChild>
                <w:div w:id="1889534878">
                  <w:marLeft w:val="0"/>
                  <w:marRight w:val="0"/>
                  <w:marTop w:val="0"/>
                  <w:marBottom w:val="0"/>
                  <w:divBdr>
                    <w:top w:val="none" w:sz="0" w:space="0" w:color="auto"/>
                    <w:left w:val="none" w:sz="0" w:space="0" w:color="auto"/>
                    <w:bottom w:val="none" w:sz="0" w:space="0" w:color="auto"/>
                    <w:right w:val="none" w:sz="0" w:space="0" w:color="auto"/>
                  </w:divBdr>
                  <w:divsChild>
                    <w:div w:id="1295789736">
                      <w:marLeft w:val="0"/>
                      <w:marRight w:val="0"/>
                      <w:marTop w:val="0"/>
                      <w:marBottom w:val="0"/>
                      <w:divBdr>
                        <w:top w:val="none" w:sz="0" w:space="0" w:color="auto"/>
                        <w:left w:val="none" w:sz="0" w:space="0" w:color="auto"/>
                        <w:bottom w:val="none" w:sz="0" w:space="0" w:color="auto"/>
                        <w:right w:val="none" w:sz="0" w:space="0" w:color="auto"/>
                      </w:divBdr>
                      <w:divsChild>
                        <w:div w:id="319578448">
                          <w:marLeft w:val="0"/>
                          <w:marRight w:val="0"/>
                          <w:marTop w:val="0"/>
                          <w:marBottom w:val="0"/>
                          <w:divBdr>
                            <w:top w:val="none" w:sz="0" w:space="0" w:color="auto"/>
                            <w:left w:val="none" w:sz="0" w:space="0" w:color="auto"/>
                            <w:bottom w:val="none" w:sz="0" w:space="0" w:color="auto"/>
                            <w:right w:val="none" w:sz="0" w:space="0" w:color="auto"/>
                          </w:divBdr>
                          <w:divsChild>
                            <w:div w:id="281347423">
                              <w:marLeft w:val="0"/>
                              <w:marRight w:val="0"/>
                              <w:marTop w:val="0"/>
                              <w:marBottom w:val="0"/>
                              <w:divBdr>
                                <w:top w:val="none" w:sz="0" w:space="0" w:color="auto"/>
                                <w:left w:val="none" w:sz="0" w:space="0" w:color="auto"/>
                                <w:bottom w:val="none" w:sz="0" w:space="0" w:color="auto"/>
                                <w:right w:val="none" w:sz="0" w:space="0" w:color="auto"/>
                              </w:divBdr>
                              <w:divsChild>
                                <w:div w:id="181648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82901">
                          <w:marLeft w:val="0"/>
                          <w:marRight w:val="0"/>
                          <w:marTop w:val="0"/>
                          <w:marBottom w:val="0"/>
                          <w:divBdr>
                            <w:top w:val="none" w:sz="0" w:space="0" w:color="auto"/>
                            <w:left w:val="none" w:sz="0" w:space="0" w:color="auto"/>
                            <w:bottom w:val="none" w:sz="0" w:space="0" w:color="auto"/>
                            <w:right w:val="none" w:sz="0" w:space="0" w:color="auto"/>
                          </w:divBdr>
                          <w:divsChild>
                            <w:div w:id="1466387036">
                              <w:marLeft w:val="0"/>
                              <w:marRight w:val="0"/>
                              <w:marTop w:val="0"/>
                              <w:marBottom w:val="0"/>
                              <w:divBdr>
                                <w:top w:val="none" w:sz="0" w:space="0" w:color="auto"/>
                                <w:left w:val="none" w:sz="0" w:space="0" w:color="auto"/>
                                <w:bottom w:val="none" w:sz="0" w:space="0" w:color="auto"/>
                                <w:right w:val="none" w:sz="0" w:space="0" w:color="auto"/>
                              </w:divBdr>
                              <w:divsChild>
                                <w:div w:id="1541044351">
                                  <w:marLeft w:val="0"/>
                                  <w:marRight w:val="0"/>
                                  <w:marTop w:val="0"/>
                                  <w:marBottom w:val="0"/>
                                  <w:divBdr>
                                    <w:top w:val="none" w:sz="0" w:space="0" w:color="auto"/>
                                    <w:left w:val="none" w:sz="0" w:space="0" w:color="auto"/>
                                    <w:bottom w:val="none" w:sz="0" w:space="0" w:color="auto"/>
                                    <w:right w:val="none" w:sz="0" w:space="0" w:color="auto"/>
                                  </w:divBdr>
                                  <w:divsChild>
                                    <w:div w:id="190806050">
                                      <w:marLeft w:val="0"/>
                                      <w:marRight w:val="0"/>
                                      <w:marTop w:val="0"/>
                                      <w:marBottom w:val="0"/>
                                      <w:divBdr>
                                        <w:top w:val="none" w:sz="0" w:space="0" w:color="auto"/>
                                        <w:left w:val="none" w:sz="0" w:space="0" w:color="auto"/>
                                        <w:bottom w:val="none" w:sz="0" w:space="0" w:color="auto"/>
                                        <w:right w:val="none" w:sz="0" w:space="0" w:color="auto"/>
                                      </w:divBdr>
                                      <w:divsChild>
                                        <w:div w:id="358167931">
                                          <w:marLeft w:val="0"/>
                                          <w:marRight w:val="0"/>
                                          <w:marTop w:val="0"/>
                                          <w:marBottom w:val="0"/>
                                          <w:divBdr>
                                            <w:top w:val="none" w:sz="0" w:space="0" w:color="auto"/>
                                            <w:left w:val="none" w:sz="0" w:space="0" w:color="auto"/>
                                            <w:bottom w:val="none" w:sz="0" w:space="0" w:color="auto"/>
                                            <w:right w:val="none" w:sz="0" w:space="0" w:color="auto"/>
                                          </w:divBdr>
                                        </w:div>
                                        <w:div w:id="1096704985">
                                          <w:marLeft w:val="0"/>
                                          <w:marRight w:val="0"/>
                                          <w:marTop w:val="0"/>
                                          <w:marBottom w:val="0"/>
                                          <w:divBdr>
                                            <w:top w:val="none" w:sz="0" w:space="0" w:color="auto"/>
                                            <w:left w:val="none" w:sz="0" w:space="0" w:color="auto"/>
                                            <w:bottom w:val="none" w:sz="0" w:space="0" w:color="auto"/>
                                            <w:right w:val="none" w:sz="0" w:space="0" w:color="auto"/>
                                          </w:divBdr>
                                        </w:div>
                                        <w:div w:id="1108499844">
                                          <w:marLeft w:val="0"/>
                                          <w:marRight w:val="0"/>
                                          <w:marTop w:val="0"/>
                                          <w:marBottom w:val="0"/>
                                          <w:divBdr>
                                            <w:top w:val="none" w:sz="0" w:space="0" w:color="auto"/>
                                            <w:left w:val="none" w:sz="0" w:space="0" w:color="auto"/>
                                            <w:bottom w:val="none" w:sz="0" w:space="0" w:color="auto"/>
                                            <w:right w:val="none" w:sz="0" w:space="0" w:color="auto"/>
                                          </w:divBdr>
                                        </w:div>
                                        <w:div w:id="1493058459">
                                          <w:marLeft w:val="0"/>
                                          <w:marRight w:val="0"/>
                                          <w:marTop w:val="0"/>
                                          <w:marBottom w:val="0"/>
                                          <w:divBdr>
                                            <w:top w:val="none" w:sz="0" w:space="0" w:color="auto"/>
                                            <w:left w:val="none" w:sz="0" w:space="0" w:color="auto"/>
                                            <w:bottom w:val="none" w:sz="0" w:space="0" w:color="auto"/>
                                            <w:right w:val="none" w:sz="0" w:space="0" w:color="auto"/>
                                          </w:divBdr>
                                        </w:div>
                                        <w:div w:id="166581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906269">
      <w:bodyDiv w:val="1"/>
      <w:marLeft w:val="0"/>
      <w:marRight w:val="0"/>
      <w:marTop w:val="0"/>
      <w:marBottom w:val="0"/>
      <w:divBdr>
        <w:top w:val="none" w:sz="0" w:space="0" w:color="auto"/>
        <w:left w:val="none" w:sz="0" w:space="0" w:color="auto"/>
        <w:bottom w:val="none" w:sz="0" w:space="0" w:color="auto"/>
        <w:right w:val="none" w:sz="0" w:space="0" w:color="auto"/>
      </w:divBdr>
      <w:divsChild>
        <w:div w:id="954673889">
          <w:marLeft w:val="0"/>
          <w:marRight w:val="0"/>
          <w:marTop w:val="0"/>
          <w:marBottom w:val="0"/>
          <w:divBdr>
            <w:top w:val="none" w:sz="0" w:space="0" w:color="auto"/>
            <w:left w:val="none" w:sz="0" w:space="0" w:color="auto"/>
            <w:bottom w:val="none" w:sz="0" w:space="0" w:color="auto"/>
            <w:right w:val="none" w:sz="0" w:space="0" w:color="auto"/>
          </w:divBdr>
          <w:divsChild>
            <w:div w:id="1267812722">
              <w:marLeft w:val="0"/>
              <w:marRight w:val="0"/>
              <w:marTop w:val="0"/>
              <w:marBottom w:val="0"/>
              <w:divBdr>
                <w:top w:val="none" w:sz="0" w:space="0" w:color="auto"/>
                <w:left w:val="none" w:sz="0" w:space="0" w:color="auto"/>
                <w:bottom w:val="none" w:sz="0" w:space="0" w:color="auto"/>
                <w:right w:val="none" w:sz="0" w:space="0" w:color="auto"/>
              </w:divBdr>
              <w:divsChild>
                <w:div w:id="688992795">
                  <w:marLeft w:val="0"/>
                  <w:marRight w:val="0"/>
                  <w:marTop w:val="0"/>
                  <w:marBottom w:val="0"/>
                  <w:divBdr>
                    <w:top w:val="none" w:sz="0" w:space="0" w:color="auto"/>
                    <w:left w:val="none" w:sz="0" w:space="0" w:color="auto"/>
                    <w:bottom w:val="none" w:sz="0" w:space="0" w:color="auto"/>
                    <w:right w:val="none" w:sz="0" w:space="0" w:color="auto"/>
                  </w:divBdr>
                  <w:divsChild>
                    <w:div w:id="11194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hrlmc.com/index.php/home/article/view/200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lmi.education/"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hyperlink" Target="https://jhrlmc.com/index.php/ho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bilu%20prorect\1984%20JHR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E92BC-7485-4C3F-B7B2-3BAAD7359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1984 JHRR.dotx</Template>
  <TotalTime>8</TotalTime>
  <Pages>10</Pages>
  <Words>6058</Words>
  <Characters>34535</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dc:creator>
  <cp:keywords/>
  <dc:description/>
  <cp:lastModifiedBy>GEO</cp:lastModifiedBy>
  <cp:revision>1</cp:revision>
  <cp:lastPrinted>2026-04-24T11:38:00Z</cp:lastPrinted>
  <dcterms:created xsi:type="dcterms:W3CDTF">2026-06-04T07:55:00Z</dcterms:created>
  <dcterms:modified xsi:type="dcterms:W3CDTF">2026-06-04T08:05:00Z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2024-08-13T11:48:01Z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cb9aac97-6d8f-4bc6-b373-c4378de845e2</vt:lpwstr>
  </property>
  <property fmtid="{D5CDD505-2E9C-101B-9397-08002B2CF9AE}" pid="7" name="MSIP_Label_defa4170-0d19-0005-0004-bc88714345d2_ActionId">
    <vt:lpwstr>6069603d-73ad-4d41-82fd-56544ed2e7ce</vt:lpwstr>
  </property>
  <property fmtid="{D5CDD505-2E9C-101B-9397-08002B2CF9AE}" pid="8" name="MSIP_Label_defa4170-0d19-0005-0004-bc88714345d2_ContentBits">
    <vt:lpwstr>0</vt:lpwstr>
  </property>
</Properties>
</file>