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5C4F64" w:rsidRPr="00BB7230" w:rsidRDefault="004C7F00" w:rsidP="00335DDB">
      <w:pPr>
        <w:pStyle w:val="Body"/>
        <w:tabs>
          <w:tab w:val="left" w:pos="3888"/>
        </w:tabs>
        <w:spacing w:line="240" w:lineRule="auto"/>
        <w:rPr>
          <w:rFonts w:cstheme="majorBidi"/>
          <w:b/>
          <w:bCs/>
          <w:color w:val="000000" w:themeColor="text1"/>
          <w:sz w:val="36"/>
          <w:szCs w:val="36"/>
        </w:rPr>
      </w:pPr>
      <w:r w:rsidRPr="004C7F00">
        <w:rPr>
          <w:rFonts w:cstheme="majorBidi"/>
          <w:b/>
          <w:bCs/>
          <w:color w:val="000000" w:themeColor="text1"/>
          <w:sz w:val="36"/>
          <w:szCs w:val="36"/>
        </w:rPr>
        <w:t xml:space="preserve">Association </w:t>
      </w:r>
      <w:proofErr w:type="gramStart"/>
      <w:r w:rsidRPr="004C7F00">
        <w:rPr>
          <w:rFonts w:cstheme="majorBidi"/>
          <w:b/>
          <w:bCs/>
          <w:color w:val="000000" w:themeColor="text1"/>
          <w:sz w:val="36"/>
          <w:szCs w:val="36"/>
        </w:rPr>
        <w:t>Between</w:t>
      </w:r>
      <w:proofErr w:type="gramEnd"/>
      <w:r w:rsidRPr="004C7F00">
        <w:rPr>
          <w:rFonts w:cstheme="majorBidi"/>
          <w:b/>
          <w:bCs/>
          <w:color w:val="000000" w:themeColor="text1"/>
          <w:sz w:val="36"/>
          <w:szCs w:val="36"/>
        </w:rPr>
        <w:t xml:space="preserve"> Vitamin D Deficiency and Chronic Musculoskeletal Pain Among Adults: An Analytical Study</w:t>
      </w:r>
    </w:p>
    <w:p w:rsidR="00E202E9" w:rsidRPr="00BB7230" w:rsidRDefault="007C1877" w:rsidP="007C1877">
      <w:pPr>
        <w:pStyle w:val="Body"/>
        <w:spacing w:before="75" w:after="100"/>
        <w:rPr>
          <w:rFonts w:cstheme="majorBidi"/>
          <w:b/>
          <w:bCs/>
          <w:color w:val="074F6A" w:themeColor="accent4" w:themeShade="80"/>
          <w:sz w:val="24"/>
          <w:szCs w:val="24"/>
        </w:rPr>
      </w:pPr>
      <w:r w:rsidRPr="007C1877">
        <w:rPr>
          <w:rFonts w:cstheme="majorBidi"/>
          <w:b/>
          <w:bCs/>
          <w:color w:val="074F6A" w:themeColor="accent4" w:themeShade="80"/>
          <w:sz w:val="24"/>
          <w:szCs w:val="24"/>
        </w:rPr>
        <w:t xml:space="preserve">Dr. </w:t>
      </w:r>
      <w:proofErr w:type="spellStart"/>
      <w:r w:rsidR="004C7F00">
        <w:rPr>
          <w:rFonts w:cstheme="majorBidi"/>
          <w:b/>
          <w:bCs/>
          <w:color w:val="074F6A" w:themeColor="accent4" w:themeShade="80"/>
          <w:sz w:val="24"/>
          <w:szCs w:val="24"/>
          <w:lang w:val="en-GB"/>
        </w:rPr>
        <w:t>Nimra</w:t>
      </w:r>
      <w:proofErr w:type="spellEnd"/>
      <w:r w:rsidR="004C7F00">
        <w:rPr>
          <w:rFonts w:cstheme="majorBidi"/>
          <w:b/>
          <w:bCs/>
          <w:color w:val="074F6A" w:themeColor="accent4" w:themeShade="80"/>
          <w:sz w:val="24"/>
          <w:szCs w:val="24"/>
          <w:lang w:val="en-GB"/>
        </w:rPr>
        <w:t xml:space="preserve"> </w:t>
      </w:r>
      <w:proofErr w:type="spellStart"/>
      <w:r w:rsidR="004C7F00">
        <w:rPr>
          <w:rFonts w:cstheme="majorBidi"/>
          <w:b/>
          <w:bCs/>
          <w:color w:val="074F6A" w:themeColor="accent4" w:themeShade="80"/>
          <w:sz w:val="24"/>
          <w:szCs w:val="24"/>
          <w:lang w:val="en-GB"/>
        </w:rPr>
        <w:t>M</w:t>
      </w:r>
      <w:r w:rsidR="004C7F00" w:rsidRPr="004C7F00">
        <w:rPr>
          <w:rFonts w:cstheme="majorBidi"/>
          <w:b/>
          <w:bCs/>
          <w:color w:val="074F6A" w:themeColor="accent4" w:themeShade="80"/>
          <w:sz w:val="24"/>
          <w:szCs w:val="24"/>
          <w:lang w:val="en-GB"/>
        </w:rPr>
        <w:t>uzammil</w:t>
      </w:r>
      <w:proofErr w:type="spellEnd"/>
      <w:r w:rsidR="004C7F00" w:rsidRPr="004C7F00">
        <w:rPr>
          <w:rFonts w:cstheme="majorBidi"/>
          <w:b/>
          <w:bCs/>
          <w:color w:val="074F6A" w:themeColor="accent4" w:themeShade="80"/>
          <w:sz w:val="24"/>
          <w:szCs w:val="24"/>
          <w:lang w:val="en-GB"/>
        </w:rPr>
        <w:t xml:space="preserve"> </w:t>
      </w:r>
      <w:r w:rsidRPr="007C1877">
        <w:rPr>
          <w:rFonts w:cstheme="majorBidi"/>
          <w:b/>
          <w:bCs/>
          <w:color w:val="074F6A" w:themeColor="accent4" w:themeShade="80"/>
          <w:sz w:val="24"/>
          <w:szCs w:val="24"/>
        </w:rPr>
        <w:t>¹</w:t>
      </w:r>
    </w:p>
    <w:p w:rsidR="00607EA1" w:rsidRPr="00BB7230" w:rsidRDefault="007C1877" w:rsidP="004175AC">
      <w:pPr>
        <w:pStyle w:val="Body"/>
        <w:spacing w:before="75" w:after="75" w:line="240" w:lineRule="auto"/>
        <w:rPr>
          <w:rFonts w:cstheme="majorBidi"/>
          <w:color w:val="000000" w:themeColor="text1"/>
          <w:sz w:val="18"/>
          <w:szCs w:val="16"/>
        </w:rPr>
      </w:pPr>
      <w:r w:rsidRPr="007C1877">
        <w:rPr>
          <w:rFonts w:cstheme="majorBidi"/>
          <w:color w:val="000000" w:themeColor="text1"/>
          <w:sz w:val="18"/>
          <w:szCs w:val="16"/>
        </w:rPr>
        <w:t>¹</w:t>
      </w:r>
      <w:r w:rsidR="0003601E">
        <w:rPr>
          <w:rFonts w:cstheme="majorBidi"/>
          <w:color w:val="000000" w:themeColor="text1"/>
          <w:sz w:val="18"/>
          <w:szCs w:val="16"/>
          <w:lang w:val="en-GB"/>
        </w:rPr>
        <w:t xml:space="preserve">University of </w:t>
      </w:r>
      <w:r w:rsidR="00342BBA">
        <w:rPr>
          <w:rFonts w:cstheme="majorBidi"/>
          <w:color w:val="000000" w:themeColor="text1"/>
          <w:sz w:val="18"/>
          <w:szCs w:val="16"/>
          <w:lang w:val="en-GB"/>
        </w:rPr>
        <w:t>Management</w:t>
      </w:r>
      <w:r w:rsidR="0003601E">
        <w:rPr>
          <w:rFonts w:cstheme="majorBidi"/>
          <w:color w:val="000000" w:themeColor="text1"/>
          <w:sz w:val="18"/>
          <w:szCs w:val="16"/>
          <w:lang w:val="en-GB"/>
        </w:rPr>
        <w:t xml:space="preserve"> and Sciences</w:t>
      </w:r>
      <w:r w:rsidR="004C7F00" w:rsidRPr="004C7F00">
        <w:rPr>
          <w:rFonts w:cstheme="majorBidi"/>
          <w:color w:val="000000" w:themeColor="text1"/>
          <w:sz w:val="18"/>
          <w:szCs w:val="16"/>
          <w:lang w:val="en-GB"/>
        </w:rPr>
        <w:t>, Lahore, Pakistan</w:t>
      </w:r>
      <w:r w:rsidRPr="007C1877">
        <w:rPr>
          <w:rFonts w:cstheme="majorBidi"/>
          <w:color w:val="000000" w:themeColor="text1"/>
          <w:sz w:val="18"/>
          <w:szCs w:val="16"/>
        </w:rPr>
        <w:t>, Pakistan</w:t>
      </w:r>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7C1877" w:rsidRPr="007C1877">
        <w:rPr>
          <w:rFonts w:cstheme="majorBidi"/>
          <w:b/>
          <w:bCs/>
          <w:color w:val="074F6A" w:themeColor="accent4" w:themeShade="80"/>
          <w:sz w:val="18"/>
          <w:szCs w:val="16"/>
          <w:lang w:val="pt-BR"/>
        </w:rPr>
        <w:t xml:space="preserve">Dr. </w:t>
      </w:r>
      <w:proofErr w:type="spellStart"/>
      <w:r w:rsidR="004C7F00" w:rsidRPr="004C7F00">
        <w:rPr>
          <w:rFonts w:cstheme="majorBidi"/>
          <w:b/>
          <w:bCs/>
          <w:color w:val="074F6A" w:themeColor="accent4" w:themeShade="80"/>
          <w:sz w:val="18"/>
          <w:szCs w:val="16"/>
          <w:lang w:val="en-GB"/>
        </w:rPr>
        <w:t>Nimra</w:t>
      </w:r>
      <w:proofErr w:type="spellEnd"/>
      <w:r w:rsidR="004C7F00" w:rsidRPr="004C7F00">
        <w:rPr>
          <w:rFonts w:cstheme="majorBidi"/>
          <w:b/>
          <w:bCs/>
          <w:color w:val="074F6A" w:themeColor="accent4" w:themeShade="80"/>
          <w:sz w:val="18"/>
          <w:szCs w:val="16"/>
          <w:lang w:val="en-GB"/>
        </w:rPr>
        <w:t xml:space="preserve"> </w:t>
      </w:r>
      <w:proofErr w:type="spellStart"/>
      <w:r w:rsidR="004C7F00" w:rsidRPr="004C7F00">
        <w:rPr>
          <w:rFonts w:cstheme="majorBidi"/>
          <w:b/>
          <w:bCs/>
          <w:color w:val="074F6A" w:themeColor="accent4" w:themeShade="80"/>
          <w:sz w:val="18"/>
          <w:szCs w:val="16"/>
          <w:lang w:val="en-GB"/>
        </w:rPr>
        <w:t>Muzammil</w:t>
      </w:r>
      <w:proofErr w:type="spellEnd"/>
      <w:r w:rsidR="007C1877" w:rsidRPr="007C1877">
        <w:rPr>
          <w:rFonts w:cstheme="majorBidi"/>
          <w:b/>
          <w:bCs/>
          <w:color w:val="074F6A" w:themeColor="accent4" w:themeShade="80"/>
          <w:sz w:val="18"/>
          <w:szCs w:val="16"/>
          <w:lang w:val="pt-BR"/>
        </w:rPr>
        <w:t xml:space="preserve">, </w:t>
      </w:r>
      <w:r w:rsidR="004C7F00" w:rsidRPr="004C7F00">
        <w:rPr>
          <w:rFonts w:cstheme="majorBidi"/>
          <w:b/>
          <w:bCs/>
          <w:color w:val="074F6A" w:themeColor="accent4" w:themeShade="80"/>
          <w:sz w:val="18"/>
          <w:szCs w:val="16"/>
          <w:lang w:val="en-GB"/>
        </w:rPr>
        <w:t>muzammilnimra3@gmail</w:t>
      </w:r>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4C7F0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07</w:t>
      </w:r>
      <w:r w:rsidR="004C7F00" w:rsidRPr="004C7F0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4C7F0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March</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4C7F0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April</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4C7F0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31 May</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4C7F0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NM; Design: NM; Data Collection: NM; Analysis: NM; Drafting: NM</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proofErr w:type="spellStart"/>
      <w:r w:rsidR="004C7F00" w:rsidRPr="004C7F00">
        <w:rPr>
          <w:rFonts w:ascii="Plantagenet Cherokee" w:hAnsi="Plantagenet Cherokee" w:cstheme="majorBidi"/>
          <w:color w:val="074F6A" w:themeColor="accent4" w:themeShade="80"/>
          <w:sz w:val="14"/>
          <w:szCs w:val="14"/>
          <w:lang w:val="en-US"/>
          <w14:shadow w14:blurRad="0" w14:dist="0" w14:dir="5400000" w14:sx="0" w14:sy="0" w14:kx="0" w14:ky="0" w14:algn="ctr">
            <w14:srgbClr w14:val="000000">
              <w14:alpha w14:val="51000"/>
            </w14:srgbClr>
          </w14:shadow>
        </w:rPr>
        <w:t>Riphah</w:t>
      </w:r>
      <w:proofErr w:type="spellEnd"/>
      <w:r w:rsidR="004C7F00" w:rsidRPr="004C7F00">
        <w:rPr>
          <w:rFonts w:ascii="Plantagenet Cherokee" w:hAnsi="Plantagenet Cherokee" w:cstheme="majorBidi"/>
          <w:color w:val="074F6A" w:themeColor="accent4" w:themeShade="80"/>
          <w:sz w:val="14"/>
          <w:szCs w:val="14"/>
          <w:lang w:val="en-US"/>
          <w14:shadow w14:blurRad="0" w14:dist="0" w14:dir="5400000" w14:sx="0" w14:sy="0" w14:kx="0" w14:ky="0" w14:algn="ctr">
            <w14:srgbClr w14:val="000000">
              <w14:alpha w14:val="51000"/>
            </w14:srgbClr>
          </w14:shadow>
        </w:rPr>
        <w:t xml:space="preserve"> International University, Lahore, </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Pakistan</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4C7F00">
      <w:pPr>
        <w:pStyle w:val="Heading1"/>
      </w:pPr>
      <w:r w:rsidRPr="00BB7230">
        <w:t>Abstract</w:t>
      </w:r>
    </w:p>
    <w:p w:rsidR="004C7F00" w:rsidRPr="004C7F00" w:rsidRDefault="004C7F00" w:rsidP="004C7F00">
      <w:pPr>
        <w:pStyle w:val="Body"/>
      </w:pPr>
      <w:r w:rsidRPr="004C7F00">
        <w:t xml:space="preserve">Background: Vitamin D deficiency has emerged as a clinically significant contributor to chronic musculoskeletal pain, functional limitation, and impaired rehabilitation outcomes. Low serum 25-hydroxyvitamin D [25(OH)D] levels may influence pain sensitization, skeletal muscle function, and inflammatory pathways, yet evidence regarding its association with persistent musculoskeletal symptoms remains inconsistent across populations. Objective: To determine the association between vitamin D deficiency and chronic musculoskeletal pain among adults and to identify predictors of poor clinical outcome in patients presenting to rehabilitation and orthopedic services at </w:t>
      </w:r>
      <w:proofErr w:type="spellStart"/>
      <w:r w:rsidRPr="004C7F00">
        <w:t>Riphah</w:t>
      </w:r>
      <w:proofErr w:type="spellEnd"/>
      <w:r w:rsidRPr="004C7F00">
        <w:t xml:space="preserve"> International University, Lahore, Pakistan. Methods: A hospital-based analytical observational study was conducted among 178 adults with chronic musculoskeletal pain. Demographic, clinical, and laboratory data were collected using structured assessment protocols. Pain severity was evaluated using the Visual Analog Scale (VAS), while serum 25(OH</w:t>
      </w:r>
      <w:proofErr w:type="gramStart"/>
      <w:r w:rsidRPr="004C7F00">
        <w:t>)D</w:t>
      </w:r>
      <w:proofErr w:type="gramEnd"/>
      <w:r w:rsidRPr="004C7F00">
        <w:t xml:space="preserve"> levels were measured using standardized biochemical methods. Vitamin D deficiency was defined as serum 25(OH</w:t>
      </w:r>
      <w:proofErr w:type="gramStart"/>
      <w:r w:rsidRPr="004C7F00">
        <w:t>)D</w:t>
      </w:r>
      <w:proofErr w:type="gramEnd"/>
      <w:r w:rsidRPr="004C7F00">
        <w:t xml:space="preserve"> &lt;20 </w:t>
      </w:r>
      <w:proofErr w:type="spellStart"/>
      <w:r w:rsidRPr="004C7F00">
        <w:t>ng</w:t>
      </w:r>
      <w:proofErr w:type="spellEnd"/>
      <w:r w:rsidRPr="004C7F00">
        <w:t xml:space="preserve">/mL and severe deficiency as ≤10 </w:t>
      </w:r>
      <w:proofErr w:type="spellStart"/>
      <w:r w:rsidRPr="004C7F00">
        <w:t>ng</w:t>
      </w:r>
      <w:proofErr w:type="spellEnd"/>
      <w:r w:rsidRPr="004C7F00">
        <w:t>/</w:t>
      </w:r>
      <w:proofErr w:type="spellStart"/>
      <w:r w:rsidRPr="004C7F00">
        <w:t>mL.</w:t>
      </w:r>
      <w:proofErr w:type="spellEnd"/>
      <w:r w:rsidRPr="004C7F00">
        <w:t xml:space="preserve"> Logistic regression analysis was used to identify predictors of poor clinical outcome. Results: Vitamin D deficiency was identified in 57.9% of participants, while severe deficiency was present in 17.4%. Mean baseline VAS pain score was 6.7 ± 1.9. Poor clinical outcome occurred in 35.4% of participants. Vitamin D deficiency independently predicted poor outcome (OR 2.41, 95% CI: 1.31–4.46, p = 0.004), while severe deficiency markedly increased risk (OR 3.18, 95% CI: 1.42–7.11, p = 0.002). Low sunlight exposure, sedentary lifestyle, obesity, chronic widespread pain, and higher baseline pain severity were also significant predictors. Improvement in serum vitamin D levels was associated with reduced odds of persistent symptoms (OR 0.69, 95% CI: 0.52–0.88, p = 0.005). Conclusion: Vitamin D deficiency was significantly associated with chronic musculoskeletal pain, functional limitation, and poor recovery outcomes. Incorporating vitamin D assessment and lifestyle-based interventions into rehabilitation and musculoskeletal care may improve clinical recovery and functional outcomes in affected adults. Keywords: Vitamin D deficiency; musculoskeletal pain; chronic pain; rehabilitation; functional limitation; physiotherapy; serum 25(OH)D; pain severity; orthopedic rehabilitation; Pakistan.</w:t>
      </w:r>
    </w:p>
    <w:p w:rsidR="004C7F00" w:rsidRPr="004C7F00" w:rsidRDefault="004C7F00" w:rsidP="004C7F00">
      <w:pPr>
        <w:pStyle w:val="Body"/>
      </w:pPr>
    </w:p>
    <w:p w:rsidR="004C7F00" w:rsidRPr="004C7F00" w:rsidRDefault="004C7F00" w:rsidP="004C7F00">
      <w:pPr>
        <w:pStyle w:val="Heading1"/>
      </w:pPr>
      <w:r w:rsidRPr="004C7F00">
        <w:t>Introduction</w:t>
      </w:r>
    </w:p>
    <w:p w:rsidR="004C7F00" w:rsidRPr="004C7F00" w:rsidRDefault="004C7F00" w:rsidP="004C7F00">
      <w:pPr>
        <w:pStyle w:val="Body"/>
      </w:pPr>
      <w:r w:rsidRPr="004C7F00">
        <w:t xml:space="preserve">Vitamin D deficiency is increasingly recognized as a clinically relevant contributor to nonspecific musculoskeletal symptoms, particularly chronic widespread pain, myalgia, fatigue, and functional limitation. Serum 25-hydroxyvitamin D [25(OH)D] is essential for calcium homeostasis, bone mineralization, neuromuscular function, and modulation of inflammatory pathways; therefore, inadequate levels may contribute to pain sensitization, muscle weakness, impaired mobility, and delayed recovery in patients presenting to rehabilitation, orthopedic, and physiotherapy settings (1). In the present study context, musculoskeletal pain was commonly associated with low vitamin D status, with vitamin D deficiency reported in 57.9% of participants and severe deficiency in 17.4%, indicating a substantial burden among symptomatic adults. </w:t>
      </w:r>
    </w:p>
    <w:p w:rsidR="004C7F00" w:rsidRPr="004C7F00" w:rsidRDefault="004C7F00" w:rsidP="004C7F00">
      <w:pPr>
        <w:pStyle w:val="Body"/>
      </w:pPr>
      <w:r w:rsidRPr="004C7F00">
        <w:t xml:space="preserve">Previous literature has reported a possible association between </w:t>
      </w:r>
      <w:proofErr w:type="spellStart"/>
      <w:r w:rsidRPr="004C7F00">
        <w:t>hypovitaminosis</w:t>
      </w:r>
      <w:proofErr w:type="spellEnd"/>
      <w:r w:rsidRPr="004C7F00">
        <w:t xml:space="preserve"> D and nonspecific musculoskeletal pain, although findings remain inconsistent across populations and clinical settings. Some studies have shown that patients with persistent or widespread musculoskeletal pain frequently have lower serum vitamin D levels, while others have questioned whether the relationship is causal or influenced by confounding factors such as reduced sunlight exposure, sedentary lifestyle, obesity, sex, dietary intake, psychological symptoms, and </w:t>
      </w:r>
      <w:r w:rsidRPr="004C7F00">
        <w:lastRenderedPageBreak/>
        <w:t>chronic comorbidities (2–6). This uncertainty creates a clinically important knowledge gap, especially in rehabilitation-based populations where persistent pain and mobility limitation directly affect quality of life and treatment response.</w:t>
      </w:r>
    </w:p>
    <w:p w:rsidR="004C7F00" w:rsidRPr="004C7F00" w:rsidRDefault="004C7F00" w:rsidP="004C7F00">
      <w:pPr>
        <w:pStyle w:val="Body"/>
      </w:pPr>
      <w:r w:rsidRPr="004C7F00">
        <w:t xml:space="preserve">In Pakistan, limited sunlight exposure despite a sunny climate, indoor lifestyle, cultural clothing practices, poor dietary intake, obesity, and reduced physical activity may increase the risk of vitamin D deficiency and related musculoskeletal complaints. The current study is therefore justified because it evaluates not only the frequency of vitamin D deficiency but also its relationship with pain severity, chronic widespread pain, functional mobility limitation, and poor clinical outcome among adults presenting with musculoskeletal pain at </w:t>
      </w:r>
      <w:proofErr w:type="spellStart"/>
      <w:r w:rsidRPr="004C7F00">
        <w:t>Riphah</w:t>
      </w:r>
      <w:proofErr w:type="spellEnd"/>
      <w:r w:rsidRPr="004C7F00">
        <w:t xml:space="preserve"> International University.</w:t>
      </w:r>
    </w:p>
    <w:p w:rsidR="004C7F00" w:rsidRPr="004C7F00" w:rsidRDefault="004C7F00" w:rsidP="004C7F00">
      <w:pPr>
        <w:pStyle w:val="Body"/>
      </w:pPr>
      <w:r w:rsidRPr="004C7F00">
        <w:t>The objective of this analytical study was to determine the association between serum vitamin D deficiency and chronic musculoskeletal pain among adults and to identify clinical predictors of poor outcome. The study hypothesized that vitamin D deficiency, particularly severe deficiency, is significantly associated with higher pain severity, functional limitation, and increased odds of persistent poor clinical outcome.</w:t>
      </w:r>
    </w:p>
    <w:p w:rsidR="004C7F00" w:rsidRPr="004C7F00" w:rsidRDefault="004C7F00" w:rsidP="004C7F00">
      <w:pPr>
        <w:pStyle w:val="Heading1"/>
      </w:pPr>
      <w:r w:rsidRPr="004C7F00">
        <w:t>Material and methods</w:t>
      </w:r>
    </w:p>
    <w:p w:rsidR="004C7F00" w:rsidRPr="004C7F00" w:rsidRDefault="004C7F00" w:rsidP="004C7F00">
      <w:pPr>
        <w:pStyle w:val="Body"/>
      </w:pPr>
      <w:r w:rsidRPr="004C7F00">
        <w:t xml:space="preserve">A hospital-based analytical observational study was conducted at the Department of Physical Therapy and affiliated rehabilitation and orthopedic clinics of </w:t>
      </w:r>
      <w:proofErr w:type="spellStart"/>
      <w:r w:rsidRPr="004C7F00">
        <w:t>Riphah</w:t>
      </w:r>
      <w:proofErr w:type="spellEnd"/>
      <w:r w:rsidRPr="004C7F00">
        <w:t xml:space="preserve"> International University, Lahore, Pakistan, to evaluate the association between serum vitamin D deficiency and chronic musculoskeletal pain among adults. The study was carried out over a defined recruitment and follow-up period during routine outpatient clinical practice. The analytical design was selected to examine relationships between serum vitamin D status, pain severity, functional impairment, and predictors of poor clinical outcome in patients presenting with chronic musculoskeletal complaints.</w:t>
      </w:r>
    </w:p>
    <w:p w:rsidR="004C7F00" w:rsidRPr="004C7F00" w:rsidRDefault="004C7F00" w:rsidP="004C7F00">
      <w:pPr>
        <w:pStyle w:val="Body"/>
      </w:pPr>
      <w:r w:rsidRPr="004C7F00">
        <w:t>Adult patients presenting with nonspecific musculoskeletal pain, chronic widespread pain, myalgia, chronic low back pain, mobility limitation, or related functional complaints were screened for eligibility. Participants aged 18 years or older with musculoskeletal pain persisting for at least three months and willingness to undergo biochemical assessment and clinical evaluation were included in the study. Patients with acute traumatic injury, malignancy-related pain, severe neurologic disorders, inflammatory connective tissue diseases, chronic renal failure, pregnancy-related musculoskeletal conditions, recent vitamin D supplementation, or incomplete laboratory data were excluded to reduce confounding and improve internal validity. Consecutive sampling was used to recruit eligible participants from outpatient rehabilitation and orthopedic services after detailed explanation of study objectives and procedures. Written informed consent was obtained from all participants prior to enrollment in accordance with institutional ethical standards and the Declaration of Helsinki.</w:t>
      </w:r>
    </w:p>
    <w:p w:rsidR="004C7F00" w:rsidRPr="004C7F00" w:rsidRDefault="004C7F00" w:rsidP="004C7F00">
      <w:pPr>
        <w:pStyle w:val="Body"/>
      </w:pPr>
      <w:r w:rsidRPr="004C7F00">
        <w:t xml:space="preserve">Baseline demographic and clinical data were collected using a structured clinical assessment form completed by trained investigators. Variables included age, sex, body mass index (BMI), smoking status, sunlight exposure, </w:t>
      </w:r>
      <w:proofErr w:type="gramStart"/>
      <w:r w:rsidRPr="004C7F00">
        <w:t>physical</w:t>
      </w:r>
      <w:proofErr w:type="gramEnd"/>
      <w:r w:rsidRPr="004C7F00">
        <w:t xml:space="preserve"> activity level, duration of musculoskeletal pain, comorbid conditions, and dietary vitamin D intake. Pain severity was assessed using the Visual Analog Scale (VAS) ranging from 0 to 10, while functional limitation was evaluated through mobility-related clinical assessment including stair-climbing difficulty and impairment in activities of daily living. Chronic widespread pain was defined according to clinically diffuse musculoskeletal involvement affecting multiple anatomical regions. Serum 25-hydroxyvitamin D [25(OH</w:t>
      </w:r>
      <w:proofErr w:type="gramStart"/>
      <w:r w:rsidRPr="004C7F00">
        <w:t>)D</w:t>
      </w:r>
      <w:proofErr w:type="gramEnd"/>
      <w:r w:rsidRPr="004C7F00">
        <w:t xml:space="preserve">] concentration was measured through standardized biochemical laboratory methods, and vitamin D deficiency was operationally defined as serum 25(OH)D level &lt;20 </w:t>
      </w:r>
      <w:proofErr w:type="spellStart"/>
      <w:r w:rsidRPr="004C7F00">
        <w:t>ng</w:t>
      </w:r>
      <w:proofErr w:type="spellEnd"/>
      <w:r w:rsidRPr="004C7F00">
        <w:t xml:space="preserve">/mL, while severe deficiency was defined as ≤10 </w:t>
      </w:r>
      <w:proofErr w:type="spellStart"/>
      <w:r w:rsidRPr="004C7F00">
        <w:t>ng</w:t>
      </w:r>
      <w:proofErr w:type="spellEnd"/>
      <w:r w:rsidRPr="004C7F00">
        <w:t>/mL, consistent with previously published literature (7–10).</w:t>
      </w:r>
    </w:p>
    <w:p w:rsidR="004C7F00" w:rsidRPr="004C7F00" w:rsidRDefault="004C7F00" w:rsidP="004C7F00">
      <w:pPr>
        <w:pStyle w:val="Body"/>
      </w:pPr>
      <w:r w:rsidRPr="004C7F00">
        <w:t>Clinical outcomes were evaluated during follow-up assessment after routine management and vitamin D correction where indicated. Primary outcomes included persistent moderate-to-severe pain, poor functional recovery, reduction in VAS pain score, and poor clinical outcome defined as persistent pain severity ≥5/10 accompanied by functional limitation despite follow-up management. Secondary outcomes included improvement in stair-climbing ability, fatigue symptoms, need for additional analgesic therapy, and hospital revisit due to pain recurrence. To minimize measurement bias, standardized definitions and assessment protocols were used for all clinical variables, while laboratory investigations were performed using uniform institutional procedures. Potential confounding variables including obesity, sedentary lifestyle, baseline pain severity, and sunlight exposure were identified a priori and incorporated into inferential analysis.</w:t>
      </w:r>
    </w:p>
    <w:p w:rsidR="004C7F00" w:rsidRPr="004C7F00" w:rsidRDefault="004C7F00" w:rsidP="004C7F00">
      <w:pPr>
        <w:pStyle w:val="Body"/>
      </w:pPr>
      <w:r w:rsidRPr="004C7F00">
        <w:lastRenderedPageBreak/>
        <w:t>Sample size adequacy was determined based on the expected prevalence of vitamin D deficiency among patients with chronic musculoskeletal pain and the need to achieve sufficient statistical power for multivariable association analysis. A total of 178 participants with complete demographic, clinical, laboratory, and follow-up data were included in the final analysis. Data integrity and reproducibility were ensured through double-entry verification, standardized coding procedures, and independent review of clinical records before statistical analysis.</w:t>
      </w:r>
    </w:p>
    <w:p w:rsidR="004C7F00" w:rsidRPr="004C7F00" w:rsidRDefault="004C7F00" w:rsidP="004C7F00">
      <w:pPr>
        <w:pStyle w:val="Body"/>
      </w:pPr>
      <w:r w:rsidRPr="004C7F00">
        <w:t xml:space="preserve">Statistical analysis was performed using Statistical Package for Social Sciences (SPSS) version 26.0. Continuous variables were expressed as mean ± standard deviation or median with interquartile range depending on distribution characteristics, while categorical variables were presented as frequencies and percentages. Group comparisons were conducted using independent sample t-tests, chi-square tests, or Mann–Whitney U tests as appropriate. Logistic regression analysis was used to determine predictors of poor clinical outcome, and results were reported as odds ratios (ORs) with 95% confidence intervals (CIs). Variables with clinical relevance or statistical significance in </w:t>
      </w:r>
      <w:proofErr w:type="spellStart"/>
      <w:r w:rsidRPr="004C7F00">
        <w:t>univariate</w:t>
      </w:r>
      <w:proofErr w:type="spellEnd"/>
      <w:r w:rsidRPr="004C7F00">
        <w:t xml:space="preserve"> analysis were entered into multivariable regression models to adjust for confounding effects. Statistical significance was considered at p &lt;0.05. Missing or incomplete records were excluded before final inferential analysis to maintain analytical consistency and reduce information bias.</w:t>
      </w:r>
    </w:p>
    <w:p w:rsidR="004C7F00" w:rsidRPr="004C7F00" w:rsidRDefault="004C7F00" w:rsidP="004C7F00">
      <w:pPr>
        <w:pStyle w:val="Body"/>
      </w:pPr>
      <w:r w:rsidRPr="004C7F00">
        <w:t xml:space="preserve">Ethical approval for the study was obtained from the institutional ethical review committee of </w:t>
      </w:r>
      <w:proofErr w:type="spellStart"/>
      <w:r w:rsidRPr="004C7F00">
        <w:t>Riphah</w:t>
      </w:r>
      <w:proofErr w:type="spellEnd"/>
      <w:r w:rsidRPr="004C7F00">
        <w:t xml:space="preserve"> International University, Lahore, Pakistan prior to data collection. Participant confidentiality was maintained throughout the study by </w:t>
      </w:r>
      <w:proofErr w:type="spellStart"/>
      <w:r w:rsidRPr="004C7F00">
        <w:t>anonymizing</w:t>
      </w:r>
      <w:proofErr w:type="spellEnd"/>
      <w:r w:rsidRPr="004C7F00">
        <w:t xml:space="preserve"> all clinical and laboratory records, restricting data access to the research team only, and storing datasets in password-protected institutional systems in accordance with standard research governance principles.</w:t>
      </w:r>
    </w:p>
    <w:p w:rsidR="004C7F00" w:rsidRPr="004C7F00" w:rsidRDefault="004C7F00" w:rsidP="004C7F00">
      <w:pPr>
        <w:pStyle w:val="Heading1"/>
      </w:pPr>
      <w:r w:rsidRPr="004C7F00">
        <w:t>Results</w:t>
      </w:r>
    </w:p>
    <w:p w:rsidR="004C7F00" w:rsidRPr="004C7F00" w:rsidRDefault="004C7F00" w:rsidP="004C7F00">
      <w:pPr>
        <w:pStyle w:val="Caption"/>
      </w:pPr>
      <w:r w:rsidRPr="004C7F00">
        <w:t>Table 1. Baseline Demographic and Clinical Characteristics of Participants (n = 178)</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890"/>
        <w:gridCol w:w="454"/>
        <w:gridCol w:w="3528"/>
        <w:gridCol w:w="1155"/>
      </w:tblGrid>
      <w:tr w:rsidR="004C7F00" w:rsidRPr="004C7F00" w:rsidTr="004C7F00">
        <w:trPr>
          <w:tblHeader/>
          <w:tblCellSpacing w:w="0" w:type="dxa"/>
        </w:trPr>
        <w:tc>
          <w:tcPr>
            <w:tcW w:w="2154"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Variable</w:t>
            </w:r>
          </w:p>
        </w:tc>
        <w:tc>
          <w:tcPr>
            <w:tcW w:w="251"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n</w:t>
            </w:r>
          </w:p>
        </w:tc>
        <w:tc>
          <w:tcPr>
            <w:tcW w:w="1954"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 / Mean ± SD / Median (IQR)</w:t>
            </w:r>
          </w:p>
        </w:tc>
        <w:tc>
          <w:tcPr>
            <w:tcW w:w="640"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p-value</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Age (years)</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178</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39.8 ± 11.6</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0.041</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Female sex</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112</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62.9%</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0.021</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Male sex</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66</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37.1%</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Reference</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Body Mass Index (kg/m²)</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178</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27.1 ± 4.8</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0.048</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Urban residence</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104</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58.4%</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0.093</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Low sunlight exposure</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93</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52.2%</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0.001</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Sedentary lifestyle</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87</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48.9%</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0.036</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Current smokers</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39</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21.9%</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0.112</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Duration of pain (months)</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178</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14 (8–27)</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0.028</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Serum 25(OH)D level (</w:t>
            </w:r>
            <w:proofErr w:type="spellStart"/>
            <w:r w:rsidRPr="004C7F00">
              <w:rPr>
                <w:b/>
                <w:color w:val="000000"/>
                <w:sz w:val="16"/>
              </w:rPr>
              <w:t>ng</w:t>
            </w:r>
            <w:proofErr w:type="spellEnd"/>
            <w:r w:rsidRPr="004C7F00">
              <w:rPr>
                <w:b/>
                <w:color w:val="000000"/>
                <w:sz w:val="16"/>
              </w:rPr>
              <w:t>/mL)</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178</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18.9 ± 8.1</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&lt;0.001</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 xml:space="preserve">Vitamin D deficiency (&lt;20 </w:t>
            </w:r>
            <w:proofErr w:type="spellStart"/>
            <w:r w:rsidRPr="004C7F00">
              <w:rPr>
                <w:b/>
                <w:color w:val="000000"/>
                <w:sz w:val="16"/>
              </w:rPr>
              <w:t>ng</w:t>
            </w:r>
            <w:proofErr w:type="spellEnd"/>
            <w:r w:rsidRPr="004C7F00">
              <w:rPr>
                <w:b/>
                <w:color w:val="000000"/>
                <w:sz w:val="16"/>
              </w:rPr>
              <w:t>/mL)</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103</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57.9%</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0.004</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 xml:space="preserve">Severe deficiency (≤10 </w:t>
            </w:r>
            <w:proofErr w:type="spellStart"/>
            <w:r w:rsidRPr="004C7F00">
              <w:rPr>
                <w:b/>
                <w:color w:val="000000"/>
                <w:sz w:val="16"/>
              </w:rPr>
              <w:t>ng</w:t>
            </w:r>
            <w:proofErr w:type="spellEnd"/>
            <w:r w:rsidRPr="004C7F00">
              <w:rPr>
                <w:b/>
                <w:color w:val="000000"/>
                <w:sz w:val="16"/>
              </w:rPr>
              <w:t>/mL)</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31</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17.4%</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0.002</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Pain severity score (VAS 0–10)</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178</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6.7 ± 1.9</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0.001</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Diffuse musculoskeletal pain</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119</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66.9%</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0.011</w:t>
            </w:r>
          </w:p>
        </w:tc>
      </w:tr>
      <w:tr w:rsidR="004C7F00" w:rsidRPr="004C7F00" w:rsidTr="004C7F00">
        <w:trPr>
          <w:tblCellSpacing w:w="0" w:type="dxa"/>
        </w:trPr>
        <w:tc>
          <w:tcPr>
            <w:tcW w:w="2154"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Chronic widespread pain</w:t>
            </w:r>
          </w:p>
        </w:tc>
        <w:tc>
          <w:tcPr>
            <w:tcW w:w="2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74</w:t>
            </w:r>
          </w:p>
        </w:tc>
        <w:tc>
          <w:tcPr>
            <w:tcW w:w="195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41.6%</w:t>
            </w:r>
          </w:p>
        </w:tc>
        <w:tc>
          <w:tcPr>
            <w:tcW w:w="64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0.011</w:t>
            </w:r>
          </w:p>
        </w:tc>
      </w:tr>
      <w:tr w:rsidR="004C7F00" w:rsidRPr="004C7F00" w:rsidTr="004C7F00">
        <w:trPr>
          <w:tblCellSpacing w:w="0" w:type="dxa"/>
        </w:trPr>
        <w:tc>
          <w:tcPr>
            <w:tcW w:w="2154"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Functional mobility limitation</w:t>
            </w:r>
          </w:p>
        </w:tc>
        <w:tc>
          <w:tcPr>
            <w:tcW w:w="251"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81</w:t>
            </w:r>
          </w:p>
        </w:tc>
        <w:tc>
          <w:tcPr>
            <w:tcW w:w="1954"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45.5%</w:t>
            </w:r>
          </w:p>
        </w:tc>
        <w:tc>
          <w:tcPr>
            <w:tcW w:w="640"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0.018</w:t>
            </w:r>
          </w:p>
        </w:tc>
      </w:tr>
    </w:tbl>
    <w:p w:rsidR="004C7F00" w:rsidRPr="004C7F00" w:rsidRDefault="004C7F00" w:rsidP="004C7F00">
      <w:pPr>
        <w:pStyle w:val="Body"/>
      </w:pPr>
      <w:r w:rsidRPr="004C7F00">
        <w:t xml:space="preserve">Source data derived from study findings. </w:t>
      </w:r>
    </w:p>
    <w:p w:rsidR="004C7F00" w:rsidRPr="004C7F00" w:rsidRDefault="00555B57" w:rsidP="004C7F00">
      <w:pPr>
        <w:pStyle w:val="Body"/>
      </w:pPr>
      <w:r>
        <w:pict>
          <v:rect id="_x0000_i1025" style="width:0;height:1.5pt" o:hralign="center" o:hrstd="t" o:hr="t" fillcolor="#a0a0a0" stroked="f"/>
        </w:pict>
      </w:r>
    </w:p>
    <w:p w:rsidR="004C7F00" w:rsidRPr="004C7F00" w:rsidRDefault="004C7F00" w:rsidP="004C7F00">
      <w:pPr>
        <w:pStyle w:val="Caption"/>
      </w:pPr>
      <w:r w:rsidRPr="004C7F00">
        <w:t>Table 2. Clinical Comorbidities and Associated Study Variables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468"/>
        <w:gridCol w:w="419"/>
        <w:gridCol w:w="995"/>
        <w:gridCol w:w="1145"/>
      </w:tblGrid>
      <w:tr w:rsidR="004C7F00" w:rsidRPr="004C7F00" w:rsidTr="004C7F00">
        <w:trPr>
          <w:tblHeader/>
          <w:tblCellSpacing w:w="0" w:type="dxa"/>
        </w:trPr>
        <w:tc>
          <w:tcPr>
            <w:tcW w:w="3583"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Variable</w:t>
            </w:r>
          </w:p>
        </w:tc>
        <w:tc>
          <w:tcPr>
            <w:tcW w:w="232"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n</w:t>
            </w:r>
          </w:p>
        </w:tc>
        <w:tc>
          <w:tcPr>
            <w:tcW w:w="551"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w:t>
            </w:r>
          </w:p>
        </w:tc>
        <w:tc>
          <w:tcPr>
            <w:tcW w:w="634"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p-value</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Osteoarthritis</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48</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27.0%</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0.072</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Arthritis-related pain</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39</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21.9%</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0.081</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Chronic low back pain</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67</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37.6%</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0.019</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Myalgia</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72</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40.4%</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0.024</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Fatigue symptoms</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91</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51.1%</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0.008</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Sleep disturbance</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64</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36.0%</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0.031</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Depression/anxiety symptoms</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58</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32.6%</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0.044</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Diabetes mellitus</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29</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16.3%</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0.087</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Hypertension</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36</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20.2%</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0.091</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Obesity (BMI ≥30 kg/m²)</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42</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23.6%</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0.048</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Reduced physical activity</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85</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47.8%</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0.036</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Poor dietary vitamin D intake</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97</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54.5%</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0.013</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Non-response to analgesics</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69</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38.8%</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0.009</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Positive response after vitamin D correction</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88</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49.4%</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0.005</w:t>
            </w:r>
          </w:p>
        </w:tc>
      </w:tr>
      <w:tr w:rsidR="004C7F00" w:rsidRPr="004C7F00" w:rsidTr="004C7F00">
        <w:trPr>
          <w:tblCellSpacing w:w="0" w:type="dxa"/>
        </w:trPr>
        <w:tc>
          <w:tcPr>
            <w:tcW w:w="358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Stair-climbing difficulty</w:t>
            </w:r>
          </w:p>
        </w:tc>
        <w:tc>
          <w:tcPr>
            <w:tcW w:w="23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57</w:t>
            </w:r>
          </w:p>
        </w:tc>
        <w:tc>
          <w:tcPr>
            <w:tcW w:w="551"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32.0%</w:t>
            </w:r>
          </w:p>
        </w:tc>
        <w:tc>
          <w:tcPr>
            <w:tcW w:w="634"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0.022</w:t>
            </w:r>
          </w:p>
        </w:tc>
      </w:tr>
      <w:tr w:rsidR="004C7F00" w:rsidRPr="004C7F00" w:rsidTr="004C7F00">
        <w:trPr>
          <w:tblCellSpacing w:w="0" w:type="dxa"/>
        </w:trPr>
        <w:tc>
          <w:tcPr>
            <w:tcW w:w="3583"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lastRenderedPageBreak/>
              <w:t>Functional impairment in daily activities</w:t>
            </w:r>
          </w:p>
        </w:tc>
        <w:tc>
          <w:tcPr>
            <w:tcW w:w="232"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76</w:t>
            </w:r>
          </w:p>
        </w:tc>
        <w:tc>
          <w:tcPr>
            <w:tcW w:w="551"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42.7%</w:t>
            </w:r>
          </w:p>
        </w:tc>
        <w:tc>
          <w:tcPr>
            <w:tcW w:w="634"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0.016</w:t>
            </w:r>
          </w:p>
        </w:tc>
      </w:tr>
    </w:tbl>
    <w:p w:rsidR="004C7F00" w:rsidRPr="004C7F00" w:rsidRDefault="00555B57" w:rsidP="004C7F00">
      <w:pPr>
        <w:pStyle w:val="Body"/>
      </w:pPr>
      <w:r>
        <w:pict>
          <v:rect id="_x0000_i1026" style="width:0;height:1.5pt" o:hralign="center" o:hrstd="t" o:hr="t" fillcolor="#a0a0a0" stroked="f"/>
        </w:pict>
      </w:r>
    </w:p>
    <w:p w:rsidR="004C7F00" w:rsidRPr="004C7F00" w:rsidRDefault="004C7F00" w:rsidP="004C7F00">
      <w:pPr>
        <w:pStyle w:val="Caption"/>
      </w:pPr>
      <w:r w:rsidRPr="004C7F00">
        <w:t>Table 3. Clinical Outcomes Following Follow-Up Assessment</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01"/>
        <w:gridCol w:w="487"/>
        <w:gridCol w:w="1881"/>
        <w:gridCol w:w="1226"/>
        <w:gridCol w:w="932"/>
      </w:tblGrid>
      <w:tr w:rsidR="004C7F00" w:rsidRPr="004C7F00" w:rsidTr="004C7F00">
        <w:trPr>
          <w:tblHeader/>
          <w:tblCellSpacing w:w="0" w:type="dxa"/>
        </w:trPr>
        <w:tc>
          <w:tcPr>
            <w:tcW w:w="2493"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Outcome</w:t>
            </w:r>
          </w:p>
        </w:tc>
        <w:tc>
          <w:tcPr>
            <w:tcW w:w="270"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n</w:t>
            </w:r>
          </w:p>
        </w:tc>
        <w:tc>
          <w:tcPr>
            <w:tcW w:w="1042"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 / Mean ± SD</w:t>
            </w:r>
          </w:p>
        </w:tc>
        <w:tc>
          <w:tcPr>
            <w:tcW w:w="679"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95% CI</w:t>
            </w:r>
          </w:p>
        </w:tc>
        <w:tc>
          <w:tcPr>
            <w:tcW w:w="516"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p-value</w:t>
            </w:r>
          </w:p>
        </w:tc>
      </w:tr>
      <w:tr w:rsidR="004C7F00" w:rsidRPr="004C7F00" w:rsidTr="004C7F00">
        <w:trPr>
          <w:tblCellSpacing w:w="0" w:type="dxa"/>
        </w:trPr>
        <w:tc>
          <w:tcPr>
            <w:tcW w:w="249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Improvement in pain symptoms</w:t>
            </w:r>
          </w:p>
        </w:tc>
        <w:tc>
          <w:tcPr>
            <w:tcW w:w="27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94</w:t>
            </w:r>
          </w:p>
        </w:tc>
        <w:tc>
          <w:tcPr>
            <w:tcW w:w="104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52.8%</w:t>
            </w:r>
          </w:p>
        </w:tc>
        <w:tc>
          <w:tcPr>
            <w:tcW w:w="67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45.4–60.1</w:t>
            </w:r>
          </w:p>
        </w:tc>
        <w:tc>
          <w:tcPr>
            <w:tcW w:w="516"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0.003</w:t>
            </w:r>
          </w:p>
        </w:tc>
      </w:tr>
      <w:tr w:rsidR="004C7F00" w:rsidRPr="004C7F00" w:rsidTr="004C7F00">
        <w:trPr>
          <w:tblCellSpacing w:w="0" w:type="dxa"/>
        </w:trPr>
        <w:tc>
          <w:tcPr>
            <w:tcW w:w="249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Persistent moderate-to-severe pain</w:t>
            </w:r>
          </w:p>
        </w:tc>
        <w:tc>
          <w:tcPr>
            <w:tcW w:w="27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71</w:t>
            </w:r>
          </w:p>
        </w:tc>
        <w:tc>
          <w:tcPr>
            <w:tcW w:w="104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39.9%</w:t>
            </w:r>
          </w:p>
        </w:tc>
        <w:tc>
          <w:tcPr>
            <w:tcW w:w="67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32.8–47.2</w:t>
            </w:r>
          </w:p>
        </w:tc>
        <w:tc>
          <w:tcPr>
            <w:tcW w:w="516"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0.001</w:t>
            </w:r>
          </w:p>
        </w:tc>
      </w:tr>
      <w:tr w:rsidR="004C7F00" w:rsidRPr="004C7F00" w:rsidTr="004C7F00">
        <w:trPr>
          <w:tblCellSpacing w:w="0" w:type="dxa"/>
        </w:trPr>
        <w:tc>
          <w:tcPr>
            <w:tcW w:w="249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Improved functional mobility</w:t>
            </w:r>
          </w:p>
        </w:tc>
        <w:tc>
          <w:tcPr>
            <w:tcW w:w="27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67</w:t>
            </w:r>
          </w:p>
        </w:tc>
        <w:tc>
          <w:tcPr>
            <w:tcW w:w="104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37.6%</w:t>
            </w:r>
          </w:p>
        </w:tc>
        <w:tc>
          <w:tcPr>
            <w:tcW w:w="67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30.7–45.1</w:t>
            </w:r>
          </w:p>
        </w:tc>
        <w:tc>
          <w:tcPr>
            <w:tcW w:w="516"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0.012</w:t>
            </w:r>
          </w:p>
        </w:tc>
      </w:tr>
      <w:tr w:rsidR="004C7F00" w:rsidRPr="004C7F00" w:rsidTr="004C7F00">
        <w:trPr>
          <w:tblCellSpacing w:w="0" w:type="dxa"/>
        </w:trPr>
        <w:tc>
          <w:tcPr>
            <w:tcW w:w="249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Reduction in VAS pain score</w:t>
            </w:r>
          </w:p>
        </w:tc>
        <w:tc>
          <w:tcPr>
            <w:tcW w:w="27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178</w:t>
            </w:r>
          </w:p>
        </w:tc>
        <w:tc>
          <w:tcPr>
            <w:tcW w:w="104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2.1 ± 1.3</w:t>
            </w:r>
          </w:p>
        </w:tc>
        <w:tc>
          <w:tcPr>
            <w:tcW w:w="67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1.8–2.4</w:t>
            </w:r>
          </w:p>
        </w:tc>
        <w:tc>
          <w:tcPr>
            <w:tcW w:w="516"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&lt;0.001</w:t>
            </w:r>
          </w:p>
        </w:tc>
      </w:tr>
      <w:tr w:rsidR="004C7F00" w:rsidRPr="004C7F00" w:rsidTr="004C7F00">
        <w:trPr>
          <w:tblCellSpacing w:w="0" w:type="dxa"/>
        </w:trPr>
        <w:tc>
          <w:tcPr>
            <w:tcW w:w="249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Follow-up serum 25(OH)D level</w:t>
            </w:r>
          </w:p>
        </w:tc>
        <w:tc>
          <w:tcPr>
            <w:tcW w:w="27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178</w:t>
            </w:r>
          </w:p>
        </w:tc>
        <w:tc>
          <w:tcPr>
            <w:tcW w:w="104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31.6 ± 10.4</w:t>
            </w:r>
          </w:p>
        </w:tc>
        <w:tc>
          <w:tcPr>
            <w:tcW w:w="67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30.1–33.2</w:t>
            </w:r>
          </w:p>
        </w:tc>
        <w:tc>
          <w:tcPr>
            <w:tcW w:w="516"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&lt;0.001</w:t>
            </w:r>
          </w:p>
        </w:tc>
      </w:tr>
      <w:tr w:rsidR="004C7F00" w:rsidRPr="004C7F00" w:rsidTr="004C7F00">
        <w:trPr>
          <w:tblCellSpacing w:w="0" w:type="dxa"/>
        </w:trPr>
        <w:tc>
          <w:tcPr>
            <w:tcW w:w="249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Poor clinical outcome</w:t>
            </w:r>
          </w:p>
        </w:tc>
        <w:tc>
          <w:tcPr>
            <w:tcW w:w="27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63</w:t>
            </w:r>
          </w:p>
        </w:tc>
        <w:tc>
          <w:tcPr>
            <w:tcW w:w="104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35.4%</w:t>
            </w:r>
          </w:p>
        </w:tc>
        <w:tc>
          <w:tcPr>
            <w:tcW w:w="67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28.6–42.6</w:t>
            </w:r>
          </w:p>
        </w:tc>
        <w:tc>
          <w:tcPr>
            <w:tcW w:w="516"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0.001</w:t>
            </w:r>
          </w:p>
        </w:tc>
      </w:tr>
      <w:tr w:rsidR="004C7F00" w:rsidRPr="004C7F00" w:rsidTr="004C7F00">
        <w:trPr>
          <w:tblCellSpacing w:w="0" w:type="dxa"/>
        </w:trPr>
        <w:tc>
          <w:tcPr>
            <w:tcW w:w="249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Hospital revisit due to recurrence</w:t>
            </w:r>
          </w:p>
        </w:tc>
        <w:tc>
          <w:tcPr>
            <w:tcW w:w="27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28</w:t>
            </w:r>
          </w:p>
        </w:tc>
        <w:tc>
          <w:tcPr>
            <w:tcW w:w="104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15.7%</w:t>
            </w:r>
          </w:p>
        </w:tc>
        <w:tc>
          <w:tcPr>
            <w:tcW w:w="67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11.0–21.8</w:t>
            </w:r>
          </w:p>
        </w:tc>
        <w:tc>
          <w:tcPr>
            <w:tcW w:w="516"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0.021</w:t>
            </w:r>
          </w:p>
        </w:tc>
      </w:tr>
      <w:tr w:rsidR="004C7F00" w:rsidRPr="004C7F00" w:rsidTr="004C7F00">
        <w:trPr>
          <w:tblCellSpacing w:w="0" w:type="dxa"/>
        </w:trPr>
        <w:tc>
          <w:tcPr>
            <w:tcW w:w="249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Persistent fatigue symptoms</w:t>
            </w:r>
          </w:p>
        </w:tc>
        <w:tc>
          <w:tcPr>
            <w:tcW w:w="27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46</w:t>
            </w:r>
          </w:p>
        </w:tc>
        <w:tc>
          <w:tcPr>
            <w:tcW w:w="104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25.8%</w:t>
            </w:r>
          </w:p>
        </w:tc>
        <w:tc>
          <w:tcPr>
            <w:tcW w:w="67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19.8–32.8</w:t>
            </w:r>
          </w:p>
        </w:tc>
        <w:tc>
          <w:tcPr>
            <w:tcW w:w="516"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0.018</w:t>
            </w:r>
          </w:p>
        </w:tc>
      </w:tr>
      <w:tr w:rsidR="004C7F00" w:rsidRPr="004C7F00" w:rsidTr="004C7F00">
        <w:trPr>
          <w:tblCellSpacing w:w="0" w:type="dxa"/>
        </w:trPr>
        <w:tc>
          <w:tcPr>
            <w:tcW w:w="2493"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Improvement in stair-climbing ability</w:t>
            </w:r>
          </w:p>
        </w:tc>
        <w:tc>
          <w:tcPr>
            <w:tcW w:w="270"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41</w:t>
            </w:r>
          </w:p>
        </w:tc>
        <w:tc>
          <w:tcPr>
            <w:tcW w:w="104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23.0%</w:t>
            </w:r>
          </w:p>
        </w:tc>
        <w:tc>
          <w:tcPr>
            <w:tcW w:w="67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17.3–29.8</w:t>
            </w:r>
          </w:p>
        </w:tc>
        <w:tc>
          <w:tcPr>
            <w:tcW w:w="516"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0.029</w:t>
            </w:r>
          </w:p>
        </w:tc>
      </w:tr>
      <w:tr w:rsidR="004C7F00" w:rsidRPr="004C7F00" w:rsidTr="004C7F00">
        <w:trPr>
          <w:tblCellSpacing w:w="0" w:type="dxa"/>
        </w:trPr>
        <w:tc>
          <w:tcPr>
            <w:tcW w:w="2493"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Additional analgesic therapy required</w:t>
            </w:r>
          </w:p>
        </w:tc>
        <w:tc>
          <w:tcPr>
            <w:tcW w:w="270"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52</w:t>
            </w:r>
          </w:p>
        </w:tc>
        <w:tc>
          <w:tcPr>
            <w:tcW w:w="1042"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29.2%</w:t>
            </w:r>
          </w:p>
        </w:tc>
        <w:tc>
          <w:tcPr>
            <w:tcW w:w="679"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22.9–36.4</w:t>
            </w:r>
          </w:p>
        </w:tc>
        <w:tc>
          <w:tcPr>
            <w:tcW w:w="516"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0.014</w:t>
            </w:r>
          </w:p>
        </w:tc>
      </w:tr>
    </w:tbl>
    <w:p w:rsidR="004C7F00" w:rsidRPr="004C7F00" w:rsidRDefault="00555B57" w:rsidP="004C7F00">
      <w:pPr>
        <w:pStyle w:val="Body"/>
      </w:pPr>
      <w:r>
        <w:pict>
          <v:rect id="_x0000_i1027" style="width:0;height:1.5pt" o:hralign="center" o:hrstd="t" o:hr="t" fillcolor="#a0a0a0" stroked="f"/>
        </w:pict>
      </w:r>
    </w:p>
    <w:p w:rsidR="004C7F00" w:rsidRPr="004C7F00" w:rsidRDefault="004C7F00" w:rsidP="004C7F00">
      <w:pPr>
        <w:pStyle w:val="Caption"/>
      </w:pPr>
      <w:r w:rsidRPr="004C7F00">
        <w:t>Table 4. Inferential Analysis: Predictors of Poor Clinical Outcome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413"/>
        <w:gridCol w:w="330"/>
        <w:gridCol w:w="1388"/>
        <w:gridCol w:w="827"/>
        <w:gridCol w:w="628"/>
        <w:gridCol w:w="2441"/>
      </w:tblGrid>
      <w:tr w:rsidR="004C7F00" w:rsidRPr="004C7F00" w:rsidTr="004C7F00">
        <w:trPr>
          <w:tblHeader/>
          <w:tblCellSpacing w:w="0" w:type="dxa"/>
        </w:trPr>
        <w:tc>
          <w:tcPr>
            <w:tcW w:w="1890"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Predictor</w:t>
            </w:r>
          </w:p>
        </w:tc>
        <w:tc>
          <w:tcPr>
            <w:tcW w:w="183"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n</w:t>
            </w:r>
          </w:p>
        </w:tc>
        <w:tc>
          <w:tcPr>
            <w:tcW w:w="769"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Odds Ratio (OR)</w:t>
            </w:r>
          </w:p>
        </w:tc>
        <w:tc>
          <w:tcPr>
            <w:tcW w:w="458"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95% CI</w:t>
            </w:r>
          </w:p>
        </w:tc>
        <w:tc>
          <w:tcPr>
            <w:tcW w:w="348"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p-value</w:t>
            </w:r>
          </w:p>
        </w:tc>
        <w:tc>
          <w:tcPr>
            <w:tcW w:w="1352" w:type="pct"/>
            <w:tcBorders>
              <w:top w:val="single" w:sz="4" w:space="0" w:color="auto"/>
              <w:bottom w:val="single" w:sz="4" w:space="0" w:color="000000"/>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Interpretation</w:t>
            </w:r>
          </w:p>
        </w:tc>
      </w:tr>
      <w:tr w:rsidR="004C7F00" w:rsidRPr="004C7F00" w:rsidTr="004C7F00">
        <w:trPr>
          <w:tblCellSpacing w:w="0" w:type="dxa"/>
        </w:trPr>
        <w:tc>
          <w:tcPr>
            <w:tcW w:w="1890"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Female sex</w:t>
            </w:r>
          </w:p>
        </w:tc>
        <w:tc>
          <w:tcPr>
            <w:tcW w:w="183"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112</w:t>
            </w:r>
          </w:p>
        </w:tc>
        <w:tc>
          <w:tcPr>
            <w:tcW w:w="76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2.08</w:t>
            </w:r>
          </w:p>
        </w:tc>
        <w:tc>
          <w:tcPr>
            <w:tcW w:w="45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1.12–3.89</w:t>
            </w:r>
          </w:p>
        </w:tc>
        <w:tc>
          <w:tcPr>
            <w:tcW w:w="34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0.021</w:t>
            </w:r>
          </w:p>
        </w:tc>
        <w:tc>
          <w:tcPr>
            <w:tcW w:w="135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Higher odds of poor outcome</w:t>
            </w:r>
          </w:p>
        </w:tc>
      </w:tr>
      <w:tr w:rsidR="004C7F00" w:rsidRPr="004C7F00" w:rsidTr="004C7F00">
        <w:trPr>
          <w:tblCellSpacing w:w="0" w:type="dxa"/>
        </w:trPr>
        <w:tc>
          <w:tcPr>
            <w:tcW w:w="1890"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 xml:space="preserve">Vitamin D deficiency (&lt;20 </w:t>
            </w:r>
            <w:proofErr w:type="spellStart"/>
            <w:r w:rsidRPr="004C7F00">
              <w:rPr>
                <w:b/>
                <w:color w:val="000000"/>
                <w:sz w:val="16"/>
              </w:rPr>
              <w:t>ng</w:t>
            </w:r>
            <w:proofErr w:type="spellEnd"/>
            <w:r w:rsidRPr="004C7F00">
              <w:rPr>
                <w:b/>
                <w:color w:val="000000"/>
                <w:sz w:val="16"/>
              </w:rPr>
              <w:t>/mL)</w:t>
            </w:r>
          </w:p>
        </w:tc>
        <w:tc>
          <w:tcPr>
            <w:tcW w:w="183"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103</w:t>
            </w:r>
          </w:p>
        </w:tc>
        <w:tc>
          <w:tcPr>
            <w:tcW w:w="76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2.41</w:t>
            </w:r>
          </w:p>
        </w:tc>
        <w:tc>
          <w:tcPr>
            <w:tcW w:w="45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1.31–4.46</w:t>
            </w:r>
          </w:p>
        </w:tc>
        <w:tc>
          <w:tcPr>
            <w:tcW w:w="34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0.004</w:t>
            </w:r>
          </w:p>
        </w:tc>
        <w:tc>
          <w:tcPr>
            <w:tcW w:w="135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Independent predictor</w:t>
            </w:r>
          </w:p>
        </w:tc>
      </w:tr>
      <w:tr w:rsidR="004C7F00" w:rsidRPr="004C7F00" w:rsidTr="004C7F00">
        <w:trPr>
          <w:tblCellSpacing w:w="0" w:type="dxa"/>
        </w:trPr>
        <w:tc>
          <w:tcPr>
            <w:tcW w:w="1890"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 xml:space="preserve">Severe vitamin D deficiency (≤10 </w:t>
            </w:r>
            <w:proofErr w:type="spellStart"/>
            <w:r w:rsidRPr="004C7F00">
              <w:rPr>
                <w:b/>
                <w:color w:val="000000"/>
                <w:sz w:val="16"/>
              </w:rPr>
              <w:t>ng</w:t>
            </w:r>
            <w:proofErr w:type="spellEnd"/>
            <w:r w:rsidRPr="004C7F00">
              <w:rPr>
                <w:b/>
                <w:color w:val="000000"/>
                <w:sz w:val="16"/>
              </w:rPr>
              <w:t>/mL)</w:t>
            </w:r>
          </w:p>
        </w:tc>
        <w:tc>
          <w:tcPr>
            <w:tcW w:w="183"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31</w:t>
            </w:r>
          </w:p>
        </w:tc>
        <w:tc>
          <w:tcPr>
            <w:tcW w:w="76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3.18</w:t>
            </w:r>
          </w:p>
        </w:tc>
        <w:tc>
          <w:tcPr>
            <w:tcW w:w="45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1.42–7.11</w:t>
            </w:r>
          </w:p>
        </w:tc>
        <w:tc>
          <w:tcPr>
            <w:tcW w:w="34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0.002</w:t>
            </w:r>
          </w:p>
        </w:tc>
        <w:tc>
          <w:tcPr>
            <w:tcW w:w="135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Markedly increased risk</w:t>
            </w:r>
          </w:p>
        </w:tc>
      </w:tr>
      <w:tr w:rsidR="004C7F00" w:rsidRPr="004C7F00" w:rsidTr="004C7F00">
        <w:trPr>
          <w:tblCellSpacing w:w="0" w:type="dxa"/>
        </w:trPr>
        <w:tc>
          <w:tcPr>
            <w:tcW w:w="1890"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Low sunlight exposure</w:t>
            </w:r>
          </w:p>
        </w:tc>
        <w:tc>
          <w:tcPr>
            <w:tcW w:w="183"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93</w:t>
            </w:r>
          </w:p>
        </w:tc>
        <w:tc>
          <w:tcPr>
            <w:tcW w:w="76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2.87</w:t>
            </w:r>
          </w:p>
        </w:tc>
        <w:tc>
          <w:tcPr>
            <w:tcW w:w="45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1.53–5.39</w:t>
            </w:r>
          </w:p>
        </w:tc>
        <w:tc>
          <w:tcPr>
            <w:tcW w:w="34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0.001</w:t>
            </w:r>
          </w:p>
        </w:tc>
        <w:tc>
          <w:tcPr>
            <w:tcW w:w="135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Worse clinical recovery</w:t>
            </w:r>
          </w:p>
        </w:tc>
      </w:tr>
      <w:tr w:rsidR="004C7F00" w:rsidRPr="004C7F00" w:rsidTr="004C7F00">
        <w:trPr>
          <w:tblCellSpacing w:w="0" w:type="dxa"/>
        </w:trPr>
        <w:tc>
          <w:tcPr>
            <w:tcW w:w="1890"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Sedentary lifestyle</w:t>
            </w:r>
          </w:p>
        </w:tc>
        <w:tc>
          <w:tcPr>
            <w:tcW w:w="183"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87</w:t>
            </w:r>
          </w:p>
        </w:tc>
        <w:tc>
          <w:tcPr>
            <w:tcW w:w="76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1.96</w:t>
            </w:r>
          </w:p>
        </w:tc>
        <w:tc>
          <w:tcPr>
            <w:tcW w:w="45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1.04–3.67</w:t>
            </w:r>
          </w:p>
        </w:tc>
        <w:tc>
          <w:tcPr>
            <w:tcW w:w="34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0.036</w:t>
            </w:r>
          </w:p>
        </w:tc>
        <w:tc>
          <w:tcPr>
            <w:tcW w:w="135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Contributed to poor outcome</w:t>
            </w:r>
          </w:p>
        </w:tc>
      </w:tr>
      <w:tr w:rsidR="004C7F00" w:rsidRPr="004C7F00" w:rsidTr="004C7F00">
        <w:trPr>
          <w:tblCellSpacing w:w="0" w:type="dxa"/>
        </w:trPr>
        <w:tc>
          <w:tcPr>
            <w:tcW w:w="1890"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Obesity</w:t>
            </w:r>
          </w:p>
        </w:tc>
        <w:tc>
          <w:tcPr>
            <w:tcW w:w="183"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42</w:t>
            </w:r>
          </w:p>
        </w:tc>
        <w:tc>
          <w:tcPr>
            <w:tcW w:w="76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1.84</w:t>
            </w:r>
          </w:p>
        </w:tc>
        <w:tc>
          <w:tcPr>
            <w:tcW w:w="45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1.01–3.52</w:t>
            </w:r>
          </w:p>
        </w:tc>
        <w:tc>
          <w:tcPr>
            <w:tcW w:w="34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0.048</w:t>
            </w:r>
          </w:p>
        </w:tc>
        <w:tc>
          <w:tcPr>
            <w:tcW w:w="135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Modestly associated</w:t>
            </w:r>
          </w:p>
        </w:tc>
      </w:tr>
      <w:tr w:rsidR="004C7F00" w:rsidRPr="004C7F00" w:rsidTr="004C7F00">
        <w:trPr>
          <w:tblCellSpacing w:w="0" w:type="dxa"/>
        </w:trPr>
        <w:tc>
          <w:tcPr>
            <w:tcW w:w="1890"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Baseline VAS ≥7</w:t>
            </w:r>
          </w:p>
        </w:tc>
        <w:tc>
          <w:tcPr>
            <w:tcW w:w="183"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79</w:t>
            </w:r>
          </w:p>
        </w:tc>
        <w:tc>
          <w:tcPr>
            <w:tcW w:w="76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2.74</w:t>
            </w:r>
          </w:p>
        </w:tc>
        <w:tc>
          <w:tcPr>
            <w:tcW w:w="45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1.46–5.14</w:t>
            </w:r>
          </w:p>
        </w:tc>
        <w:tc>
          <w:tcPr>
            <w:tcW w:w="34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0.001</w:t>
            </w:r>
          </w:p>
        </w:tc>
        <w:tc>
          <w:tcPr>
            <w:tcW w:w="135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Persistent symptoms predictor</w:t>
            </w:r>
          </w:p>
        </w:tc>
      </w:tr>
      <w:tr w:rsidR="004C7F00" w:rsidRPr="004C7F00" w:rsidTr="004C7F00">
        <w:trPr>
          <w:tblCellSpacing w:w="0" w:type="dxa"/>
        </w:trPr>
        <w:tc>
          <w:tcPr>
            <w:tcW w:w="1890" w:type="pct"/>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Chronic widespread pain</w:t>
            </w:r>
          </w:p>
        </w:tc>
        <w:tc>
          <w:tcPr>
            <w:tcW w:w="183"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74</w:t>
            </w:r>
          </w:p>
        </w:tc>
        <w:tc>
          <w:tcPr>
            <w:tcW w:w="769"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2.29</w:t>
            </w:r>
          </w:p>
        </w:tc>
        <w:tc>
          <w:tcPr>
            <w:tcW w:w="45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1.20–4.36</w:t>
            </w:r>
          </w:p>
        </w:tc>
        <w:tc>
          <w:tcPr>
            <w:tcW w:w="348"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0.011</w:t>
            </w:r>
          </w:p>
        </w:tc>
        <w:tc>
          <w:tcPr>
            <w:tcW w:w="1352" w:type="pct"/>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Increased poor recovery risk</w:t>
            </w:r>
          </w:p>
        </w:tc>
      </w:tr>
      <w:tr w:rsidR="004C7F00" w:rsidRPr="004C7F00" w:rsidTr="004C7F00">
        <w:trPr>
          <w:tblCellSpacing w:w="0" w:type="dxa"/>
        </w:trPr>
        <w:tc>
          <w:tcPr>
            <w:tcW w:w="1890"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b/>
                <w:color w:val="000000"/>
                <w:sz w:val="16"/>
              </w:rPr>
            </w:pPr>
            <w:r w:rsidRPr="004C7F00">
              <w:rPr>
                <w:b/>
                <w:color w:val="000000"/>
                <w:sz w:val="16"/>
              </w:rPr>
              <w:t xml:space="preserve">Increase in serum vitamin D per 10 </w:t>
            </w:r>
            <w:proofErr w:type="spellStart"/>
            <w:r w:rsidRPr="004C7F00">
              <w:rPr>
                <w:b/>
                <w:color w:val="000000"/>
                <w:sz w:val="16"/>
              </w:rPr>
              <w:t>ng</w:t>
            </w:r>
            <w:proofErr w:type="spellEnd"/>
            <w:r w:rsidRPr="004C7F00">
              <w:rPr>
                <w:b/>
                <w:color w:val="000000"/>
                <w:sz w:val="16"/>
              </w:rPr>
              <w:t>/mL</w:t>
            </w:r>
          </w:p>
        </w:tc>
        <w:tc>
          <w:tcPr>
            <w:tcW w:w="183"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178</w:t>
            </w:r>
          </w:p>
        </w:tc>
        <w:tc>
          <w:tcPr>
            <w:tcW w:w="769"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0.69</w:t>
            </w:r>
          </w:p>
        </w:tc>
        <w:tc>
          <w:tcPr>
            <w:tcW w:w="458"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0.52–0.88</w:t>
            </w:r>
          </w:p>
        </w:tc>
        <w:tc>
          <w:tcPr>
            <w:tcW w:w="348"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0.005</w:t>
            </w:r>
          </w:p>
        </w:tc>
        <w:tc>
          <w:tcPr>
            <w:tcW w:w="1352" w:type="pct"/>
            <w:tcBorders>
              <w:bottom w:val="single" w:sz="4" w:space="0" w:color="auto"/>
            </w:tcBorders>
            <w:shd w:val="clear" w:color="auto" w:fill="auto"/>
            <w:hideMark/>
          </w:tcPr>
          <w:p w:rsidR="004C7F00" w:rsidRPr="004C7F00" w:rsidRDefault="004C7F00" w:rsidP="004C7F00">
            <w:pPr>
              <w:pStyle w:val="Body"/>
              <w:spacing w:after="0" w:line="240" w:lineRule="auto"/>
              <w:jc w:val="left"/>
              <w:rPr>
                <w:color w:val="000000"/>
                <w:sz w:val="16"/>
              </w:rPr>
            </w:pPr>
            <w:r w:rsidRPr="004C7F00">
              <w:rPr>
                <w:color w:val="000000"/>
                <w:sz w:val="16"/>
              </w:rPr>
              <w:t>Protective effect</w:t>
            </w:r>
          </w:p>
        </w:tc>
      </w:tr>
    </w:tbl>
    <w:p w:rsidR="004C7F00" w:rsidRPr="004C7F00" w:rsidRDefault="004C7F00" w:rsidP="004C7F00">
      <w:pPr>
        <w:pStyle w:val="Body"/>
      </w:pPr>
      <w:r w:rsidRPr="004C7F00">
        <w:t xml:space="preserve">OR = Odds Ratio; CI = Confidence Interval. </w:t>
      </w:r>
    </w:p>
    <w:p w:rsidR="004C7F00" w:rsidRPr="004C7F00" w:rsidRDefault="004C7F00" w:rsidP="004C7F00">
      <w:pPr>
        <w:pStyle w:val="Body"/>
      </w:pPr>
      <w:r w:rsidRPr="004C7F00">
        <w:t>The study included 178 adult participants with chronic musculoskeletal pain, with a mean age of 39.8 ± 11.6 years. Female participants constituted 62.9% of the study population, indicating a predominance of musculoskeletal complaints among women. The mean body mass index was 27.1 ± 4.8 kg/m², while obesity was present in 23.6% of participants. More than half of the participants reported low sunlight exposure (52.2%) and poor dietary vitamin D intake (54.5%), whereas 48.9% had a sedentary lifestyle. The median duration of musculoskeletal pain was 14 months (IQR: 8–27 months), suggesting that most patients had chronic symptoms rather than acute pain presentations. Mean serum 25(OH</w:t>
      </w:r>
      <w:proofErr w:type="gramStart"/>
      <w:r w:rsidRPr="004C7F00">
        <w:t>)D</w:t>
      </w:r>
      <w:proofErr w:type="gramEnd"/>
      <w:r w:rsidRPr="004C7F00">
        <w:t xml:space="preserve"> level was 18.9 ± 8.1 </w:t>
      </w:r>
      <w:proofErr w:type="spellStart"/>
      <w:r w:rsidRPr="004C7F00">
        <w:t>ng</w:t>
      </w:r>
      <w:proofErr w:type="spellEnd"/>
      <w:r w:rsidRPr="004C7F00">
        <w:t xml:space="preserve">/mL, with vitamin D deficiency identified in 57.9% of participants and severe deficiency in 17.4%. Pain severity was clinically high, with a mean VAS score of 6.7 ± 1.9, and diffuse musculoskeletal pain was observed in 66.9% of cases, while chronic widespread pain affected 41.6% of participants. Functional mobility limitation was present in 45.5% of the study population, demonstrating a substantial burden of disability among affected adults. </w:t>
      </w:r>
    </w:p>
    <w:p w:rsidR="004C7F00" w:rsidRPr="004C7F00" w:rsidRDefault="004C7F00" w:rsidP="004C7F00">
      <w:pPr>
        <w:pStyle w:val="Body"/>
      </w:pPr>
      <w:r w:rsidRPr="004C7F00">
        <w:t xml:space="preserve">Regarding associated clinical conditions, chronic low back pain was present in 37.6% of participants, myalgia in 40.4%, and osteoarthritis in 27.0%. Fatigue symptoms were highly prevalent, affecting 51.1% of patients, while sleep disturbance and depression/anxiety symptoms were reported in 36.0% and 32.6%, respectively. Reduced physical activity was identified in 47.8% of participants, and 38.8% demonstrated poor response to conservative analgesic therapy. Following vitamin D correction and routine clinical management, positive response was observed in 49.4% of participants. Functional impairment in activities of daily living remained clinically important, affecting 42.7% of the cohort, while stair-climbing difficulty was reported by 32.0% of patients. Several of these variables demonstrated statistically significant associations with poorer outcomes, including obesity (p = 0.048), reduced physical activity (p = 0.036), fatigue symptoms (p = 0.008), and non-response to analgesics (p = 0.009). </w:t>
      </w:r>
    </w:p>
    <w:p w:rsidR="004C7F00" w:rsidRPr="004C7F00" w:rsidRDefault="004C7F00" w:rsidP="004C7F00">
      <w:pPr>
        <w:pStyle w:val="Body"/>
      </w:pPr>
      <w:bookmarkStart w:id="0" w:name="_GoBack"/>
      <w:r w:rsidRPr="004C7F00">
        <w:t xml:space="preserve">Follow-up assessment demonstrated clinically meaningful improvement in several outcomes. Improvement in pain symptoms was observed in 52.8% of participants, whereas persistent moderate-to-severe pain remained in 39.9% of cases. Functional mobility improved in 37.6% of participants, and the mean reduction in VAS pain score was 2.1 ± 1.3 points, which was statistically significant (p &lt;0.001). Mean follow-up serum vitamin D level increased to 31.6 ± 10.4 </w:t>
      </w:r>
      <w:proofErr w:type="spellStart"/>
      <w:r w:rsidRPr="004C7F00">
        <w:t>ng</w:t>
      </w:r>
      <w:proofErr w:type="spellEnd"/>
      <w:r w:rsidRPr="004C7F00">
        <w:t xml:space="preserve">/mL, reflecting biochemical improvement after management. Despite treatment, poor clinical outcome persisted in 35.4% of participants, while 15.7% required hospital revisit due to recurrence of pain symptoms. Persistent fatigue symptoms remained in 25.8% of patients, and 29.2% required additional </w:t>
      </w:r>
      <w:r w:rsidRPr="004C7F00">
        <w:lastRenderedPageBreak/>
        <w:t xml:space="preserve">analgesic therapy during follow-up. Improvement in stair-climbing ability was documented in 23.0% of participants. </w:t>
      </w:r>
    </w:p>
    <w:bookmarkEnd w:id="0"/>
    <w:p w:rsidR="004C7F00" w:rsidRPr="004C7F00" w:rsidRDefault="004C7F00" w:rsidP="004C7F00">
      <w:pPr>
        <w:pStyle w:val="Body"/>
      </w:pPr>
      <w:r w:rsidRPr="004C7F00">
        <w:t xml:space="preserve">Inferential analysis identified several independent predictors of poor clinical outcome. Female participants had significantly higher odds of poor outcome (OR 2.08, 95% CI: 1.12–3.89, p = 0.021). Vitamin D deficiency was independently associated with persistent poor outcome (OR 2.41, 95% CI: 1.31–4.46, p = 0.004), while severe deficiency showed an even stronger relationship (OR 3.18, 95% CI: 1.42–7.11, p = 0.002). Low sunlight exposure was among the strongest predictors of worse clinical recovery (OR 2.87, 95% CI: 1.53–5.39, p = 0.001). Sedentary lifestyle and obesity were also significantly associated with poor outcome, with odds ratios of 1.96 and 1.84, respectively. Participants with baseline VAS pain score ≥7 had 2.74 times greater odds of persistent symptoms, while chronic widespread pain increased the likelihood of poor recovery by more than twofold (OR 2.29, 95% CI: 1.20–4.36, p = 0.011). Conversely, each 10 </w:t>
      </w:r>
      <w:proofErr w:type="spellStart"/>
      <w:r w:rsidRPr="004C7F00">
        <w:t>ng</w:t>
      </w:r>
      <w:proofErr w:type="spellEnd"/>
      <w:r w:rsidRPr="004C7F00">
        <w:t xml:space="preserve">/mL increase in serum vitamin D level was associated with a protective effect against poor clinical outcome (OR 0.69, 95% CI: 0.52–0.88, p = 0.005). </w:t>
      </w:r>
    </w:p>
    <w:p w:rsidR="004C7F00" w:rsidRPr="004C7F00" w:rsidRDefault="00EB327F" w:rsidP="00EB327F">
      <w:pPr>
        <w:pStyle w:val="Body"/>
        <w:jc w:val="center"/>
      </w:pPr>
      <w:r>
        <w:rPr>
          <w:noProof/>
        </w:rPr>
        <w:drawing>
          <wp:inline distT="0" distB="0" distL="0" distR="0">
            <wp:extent cx="4572000" cy="2859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4, 2026, 01_17_23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859589"/>
                    </a:xfrm>
                    <a:prstGeom prst="rect">
                      <a:avLst/>
                    </a:prstGeom>
                  </pic:spPr>
                </pic:pic>
              </a:graphicData>
            </a:graphic>
          </wp:inline>
        </w:drawing>
      </w:r>
    </w:p>
    <w:p w:rsidR="004C7F00" w:rsidRPr="004C7F00" w:rsidRDefault="004C7F00" w:rsidP="004C7F00">
      <w:pPr>
        <w:pStyle w:val="Caption"/>
      </w:pPr>
      <w:r w:rsidRPr="004C7F00">
        <w:t xml:space="preserve">Figure 1. Relationship </w:t>
      </w:r>
      <w:proofErr w:type="gramStart"/>
      <w:r w:rsidRPr="004C7F00">
        <w:t>Between</w:t>
      </w:r>
      <w:proofErr w:type="gramEnd"/>
      <w:r w:rsidRPr="004C7F00">
        <w:t xml:space="preserve"> Vitamin D Status, Pain Severity, and Poor Clinical Outcome in Adults With Chronic Musculoskeletal Pain</w:t>
      </w:r>
    </w:p>
    <w:p w:rsidR="004C7F00" w:rsidRPr="004C7F00" w:rsidRDefault="004C7F00" w:rsidP="004C7F00">
      <w:pPr>
        <w:pStyle w:val="Body"/>
      </w:pPr>
      <w:r w:rsidRPr="004C7F00">
        <w:t xml:space="preserve">A layered distribution analysis demonstrated a strong inverse relationship between serum vitamin D levels and clinical recovery outcomes among adults with chronic musculoskeletal pain. Participants with severe vitamin D deficiency (≤10 </w:t>
      </w:r>
      <w:proofErr w:type="spellStart"/>
      <w:r w:rsidRPr="004C7F00">
        <w:t>ng</w:t>
      </w:r>
      <w:proofErr w:type="spellEnd"/>
      <w:r w:rsidRPr="004C7F00">
        <w:t>/mL) exhibited the highest concentration of persistent moderate-to-severe pain, greatest functional limitation burden, and poorest recovery profile compared with individuals having higher serum 25(OH</w:t>
      </w:r>
      <w:proofErr w:type="gramStart"/>
      <w:r w:rsidRPr="004C7F00">
        <w:t>)D</w:t>
      </w:r>
      <w:proofErr w:type="gramEnd"/>
      <w:r w:rsidRPr="004C7F00">
        <w:t xml:space="preserve"> levels. The outcome gradient showed progressive reduction in poor clinical outcomes as serum vitamin D concentration increased, with each 10 </w:t>
      </w:r>
      <w:proofErr w:type="spellStart"/>
      <w:r w:rsidRPr="004C7F00">
        <w:t>ng</w:t>
      </w:r>
      <w:proofErr w:type="spellEnd"/>
      <w:r w:rsidRPr="004C7F00">
        <w:t xml:space="preserve">/mL increase associated with a 31% reduction in odds of persistent poor outcome (OR 0.69, 95% CI: 0.52–0.88, p = 0.005). Low sunlight exposure and sedentary lifestyle clustered prominently within the severe deficiency distribution, whereas participants achieving follow-up vitamin D levels around 31.6 ± 10.4 </w:t>
      </w:r>
      <w:proofErr w:type="spellStart"/>
      <w:r w:rsidRPr="004C7F00">
        <w:t>ng</w:t>
      </w:r>
      <w:proofErr w:type="spellEnd"/>
      <w:r w:rsidRPr="004C7F00">
        <w:t xml:space="preserve">/mL demonstrated greater improvement in pain symptoms and mobility recovery. The visualization further highlighted asymmetrical distribution of chronic widespread pain and high baseline VAS scores among deficient participants, emphasizing the combined interaction between biochemical deficiency, pain severity, and functional impairment in determining long-term clinical recovery. </w:t>
      </w:r>
    </w:p>
    <w:p w:rsidR="004C7F00" w:rsidRPr="004C7F00" w:rsidRDefault="004C7F00" w:rsidP="004C7F00">
      <w:pPr>
        <w:pStyle w:val="Heading1"/>
      </w:pPr>
      <w:r w:rsidRPr="004C7F00">
        <w:t>Discussion</w:t>
      </w:r>
    </w:p>
    <w:p w:rsidR="004C7F00" w:rsidRPr="004C7F00" w:rsidRDefault="004C7F00" w:rsidP="004C7F00">
      <w:pPr>
        <w:pStyle w:val="Body"/>
      </w:pPr>
      <w:r w:rsidRPr="004C7F00">
        <w:t xml:space="preserve">The present analytical study demonstrated a significant association between vitamin D deficiency and chronic musculoskeletal pain among adults attending rehabilitation and orthopedic services at </w:t>
      </w:r>
      <w:proofErr w:type="spellStart"/>
      <w:r w:rsidRPr="004C7F00">
        <w:t>Riphah</w:t>
      </w:r>
      <w:proofErr w:type="spellEnd"/>
      <w:r w:rsidRPr="004C7F00">
        <w:t xml:space="preserve"> International University. More than half of the participants had vitamin D deficiency, while severe deficiency was also common, highlighting the substantial burden of </w:t>
      </w:r>
      <w:proofErr w:type="spellStart"/>
      <w:r w:rsidRPr="004C7F00">
        <w:t>hypovitaminosis</w:t>
      </w:r>
      <w:proofErr w:type="spellEnd"/>
      <w:r w:rsidRPr="004C7F00">
        <w:t xml:space="preserve"> D in patients presenting with chronic pain and mobility-related complaints. Participants with lower serum vitamin D levels showed greater pain severity, increased prevalence of diffuse musculoskeletal pain, and higher rates of functional limitation, supporting the hypothesis that inadequate vitamin D status may contribute to persistent musculoskeletal symptoms and impaired clinical </w:t>
      </w:r>
      <w:r w:rsidRPr="004C7F00">
        <w:lastRenderedPageBreak/>
        <w:t>recovery. These findings are consistent with previous studies reporting associations between low serum 25(OH</w:t>
      </w:r>
      <w:proofErr w:type="gramStart"/>
      <w:r w:rsidRPr="004C7F00">
        <w:t>)D</w:t>
      </w:r>
      <w:proofErr w:type="gramEnd"/>
      <w:r w:rsidRPr="004C7F00">
        <w:t xml:space="preserve"> levels and chronic widespread pain, myalgia, fatigue, and reduced physical functioning (11–14).</w:t>
      </w:r>
    </w:p>
    <w:p w:rsidR="004C7F00" w:rsidRPr="004C7F00" w:rsidRDefault="004C7F00" w:rsidP="004C7F00">
      <w:pPr>
        <w:pStyle w:val="Body"/>
      </w:pPr>
      <w:r w:rsidRPr="004C7F00">
        <w:t>The study further identified several clinically important predictors of poor outcome. Female sex, low sunlight exposure, sedentary lifestyle, obesity, severe vitamin D deficiency, chronic widespread pain, and higher baseline VAS pain score were all independently associated with persistent pain and functional impairment. Among these predictors, severe vitamin D deficiency demonstrated one of the strongest relationships with poor clinical recovery, increasing the odds of persistent symptoms by more than threefold. Similarly, low sunlight exposure emerged as a major determinant of adverse outcome, reflecting the importance of environmental and lifestyle-related factors in vitamin D metabolism and musculoskeletal health. These findings are biologically plausible because vitamin D deficiency has been linked to muscle hypersensitivity, inflammatory modulation, impaired muscle performance, and altered nociceptive signaling pathways (15–17).</w:t>
      </w:r>
    </w:p>
    <w:p w:rsidR="004C7F00" w:rsidRPr="004C7F00" w:rsidRDefault="004C7F00" w:rsidP="004C7F00">
      <w:pPr>
        <w:pStyle w:val="Body"/>
      </w:pPr>
      <w:r w:rsidRPr="004C7F00">
        <w:t>The high prevalence of fatigue symptoms, sleep disturbance, depression/anxiety symptoms, and reduced physical activity observed in this study further emphasizes the multidimensional nature of chronic musculoskeletal pain. Persistent pain syndromes are rarely isolated orthopedic phenomena and are frequently influenced by metabolic, behavioral, psychosocial, and functional factors. Participants with poor dietary vitamin D intake and sedentary lifestyle demonstrated significantly worse clinical profiles, suggesting that modifiable lifestyle interventions may have an important adjunctive role in rehabilitation-based pain management. Furthermore, nearly half of the participants demonstrated positive clinical response after vitamin D correction, while follow-up vitamin D levels improved substantially alongside reduction in mean VAS pain score. These findings support the potential role of vitamin D optimization as part of a comprehensive multidisciplinary management strategy for chronic musculoskeletal pain (18–20).</w:t>
      </w:r>
    </w:p>
    <w:p w:rsidR="004C7F00" w:rsidRPr="004C7F00" w:rsidRDefault="004C7F00" w:rsidP="004C7F00">
      <w:pPr>
        <w:pStyle w:val="Body"/>
      </w:pPr>
      <w:r w:rsidRPr="004C7F00">
        <w:t xml:space="preserve">The current findings are comparable to studies conducted in rehabilitation and rheumatologic settings where vitamin D deficiency has been associated with chronic nonspecific musculoskeletal pain and functional disability. </w:t>
      </w:r>
      <w:proofErr w:type="spellStart"/>
      <w:r w:rsidRPr="004C7F00">
        <w:t>Plotnikoff</w:t>
      </w:r>
      <w:proofErr w:type="spellEnd"/>
      <w:r w:rsidRPr="004C7F00">
        <w:t xml:space="preserve"> and Quigley reported a high prevalence of severe </w:t>
      </w:r>
      <w:proofErr w:type="spellStart"/>
      <w:r w:rsidRPr="004C7F00">
        <w:t>hypovitaminosis</w:t>
      </w:r>
      <w:proofErr w:type="spellEnd"/>
      <w:r w:rsidRPr="004C7F00">
        <w:t xml:space="preserve"> D among patients with persistent nonspecific pain, while </w:t>
      </w:r>
      <w:proofErr w:type="spellStart"/>
      <w:r w:rsidRPr="004C7F00">
        <w:t>Heidari</w:t>
      </w:r>
      <w:proofErr w:type="spellEnd"/>
      <w:r w:rsidRPr="004C7F00">
        <w:t xml:space="preserve"> et al. demonstrated a relationship between low vitamin D levels and skeletal pain severity (2</w:t>
      </w:r>
      <w:proofErr w:type="gramStart"/>
      <w:r w:rsidRPr="004C7F00">
        <w:t>,3</w:t>
      </w:r>
      <w:proofErr w:type="gramEnd"/>
      <w:r w:rsidRPr="004C7F00">
        <w:t>). Similarly, Wu et al., in a systematic review and meta-analysis, identified an inverse relationship between serum vitamin D concentration and pain burden across multiple clinical populations (20). However, some studies have reported conflicting evidence regarding the direct therapeutic effect of vitamin D supplementation on pain improvement, indicating that vitamin D deficiency may interact with multiple biological and psychosocial mechanisms rather than functioning as an isolated causal factor (6</w:t>
      </w:r>
      <w:proofErr w:type="gramStart"/>
      <w:r w:rsidRPr="004C7F00">
        <w:t>,18</w:t>
      </w:r>
      <w:proofErr w:type="gramEnd"/>
      <w:r w:rsidRPr="004C7F00">
        <w:t>). The present study adds regional evidence from Pakistan and reinforces the importance of contextual clinical assessment in populations with high rates of vitamin D deficiency.</w:t>
      </w:r>
    </w:p>
    <w:p w:rsidR="004C7F00" w:rsidRPr="004C7F00" w:rsidRDefault="004C7F00" w:rsidP="004C7F00">
      <w:pPr>
        <w:pStyle w:val="Body"/>
      </w:pPr>
      <w:r w:rsidRPr="004C7F00">
        <w:t>The study has several clinical implications. Screening for vitamin D deficiency in adults presenting with chronic musculoskeletal pain, particularly those with widespread pain, obesity, sedentary lifestyle, or limited sunlight exposure, may improve early identification of patients at increased risk of persistent symptoms and poor rehabilitation outcomes. Incorporating vitamin D assessment into orthopedic, physiotherapy, and rehabilitation protocols may facilitate more individualized management strategies and potentially reduce long-term disability and healthcare utilization. Additionally, patient education regarding sunlight exposure, dietary modification, physical activity, and adherence to supplementation may contribute to improved clinical recovery and functional mobility.</w:t>
      </w:r>
    </w:p>
    <w:p w:rsidR="004C7F00" w:rsidRPr="004C7F00" w:rsidRDefault="004C7F00" w:rsidP="004C7F00">
      <w:pPr>
        <w:pStyle w:val="Body"/>
      </w:pPr>
      <w:r w:rsidRPr="004C7F00">
        <w:t>Despite its strengths, the study has certain limitations. The observational analytical design limits causal inference, and residual confounding from unmeasured behavioral or psychosocial factors may have influenced outcomes. The study was conducted at a single institutional setting, which may affect generalizability to broader populations. Furthermore, reliance on follow-up clinical assessment rather than long-term longitudinal monitoring may underestimate delayed recurrence or sustained functional outcomes. Nevertheless, the study provides clinically relevant evidence regarding the association between vitamin D deficiency and musculoskeletal pain in a rehabilitation-focused adult population and offers important directions for future multicenter prospective research.</w:t>
      </w:r>
    </w:p>
    <w:p w:rsidR="004C7F00" w:rsidRPr="004C7F00" w:rsidRDefault="004C7F00" w:rsidP="004C7F00">
      <w:pPr>
        <w:pStyle w:val="Heading1"/>
      </w:pPr>
      <w:r w:rsidRPr="004C7F00">
        <w:t>Conclusion</w:t>
      </w:r>
    </w:p>
    <w:p w:rsidR="004C7F00" w:rsidRPr="004C7F00" w:rsidRDefault="004C7F00" w:rsidP="004C7F00">
      <w:pPr>
        <w:pStyle w:val="Body"/>
      </w:pPr>
      <w:r w:rsidRPr="004C7F00">
        <w:t xml:space="preserve">Vitamin D deficiency was significantly associated with chronic musculoskeletal pain, functional limitation, and poor clinical outcome among adults attending rehabilitation and orthopedic services at </w:t>
      </w:r>
      <w:proofErr w:type="spellStart"/>
      <w:r w:rsidRPr="004C7F00">
        <w:t>Riphah</w:t>
      </w:r>
      <w:proofErr w:type="spellEnd"/>
      <w:r w:rsidRPr="004C7F00">
        <w:t xml:space="preserve"> International University. More than half of the participants demonstrated vitamin D deficiency, while severe deficiency was </w:t>
      </w:r>
      <w:r w:rsidRPr="004C7F00">
        <w:lastRenderedPageBreak/>
        <w:t>independently associated with markedly increased odds of persistent symptoms and impaired recovery. Female sex, low sunlight exposure, sedentary lifestyle, obesity, chronic widespread pain, and high baseline pain severity were also significant predictors of adverse outcome. Improvement in serum vitamin D levels during follow-up was associated with reduction in pain severity and better functional recovery, suggesting that optimization of vitamin D status may contribute to improved rehabilitation outcomes in patients with chronic musculoskeletal pain. These findings support the integration of vitamin D assessment and lifestyle-based preventive strategies into routine musculoskeletal and rehabilitation care to enhance early identification of high-risk patients and improve long-term clinical management.</w:t>
      </w:r>
    </w:p>
    <w:p w:rsidR="004C7F00" w:rsidRPr="004C7F00" w:rsidRDefault="004C7F00" w:rsidP="004C7F00">
      <w:pPr>
        <w:pStyle w:val="Heading1"/>
      </w:pPr>
      <w:r w:rsidRPr="004C7F00">
        <w:t xml:space="preserve">References </w:t>
      </w:r>
    </w:p>
    <w:p w:rsidR="004C7F00" w:rsidRPr="004C7F00" w:rsidRDefault="004C7F00" w:rsidP="004C7F00">
      <w:pPr>
        <w:pStyle w:val="Body"/>
        <w:numPr>
          <w:ilvl w:val="0"/>
          <w:numId w:val="18"/>
        </w:numPr>
      </w:pPr>
      <w:proofErr w:type="spellStart"/>
      <w:r w:rsidRPr="004C7F00">
        <w:t>Abbasi</w:t>
      </w:r>
      <w:proofErr w:type="spellEnd"/>
      <w:r w:rsidRPr="004C7F00">
        <w:t xml:space="preserve"> M, </w:t>
      </w:r>
      <w:proofErr w:type="spellStart"/>
      <w:r w:rsidRPr="004C7F00">
        <w:t>Hashemipour</w:t>
      </w:r>
      <w:proofErr w:type="spellEnd"/>
      <w:r w:rsidRPr="004C7F00">
        <w:t xml:space="preserve"> S, </w:t>
      </w:r>
      <w:proofErr w:type="spellStart"/>
      <w:r w:rsidRPr="004C7F00">
        <w:t>Hajmanuchehri</w:t>
      </w:r>
      <w:proofErr w:type="spellEnd"/>
      <w:r w:rsidRPr="004C7F00">
        <w:t xml:space="preserve"> F, </w:t>
      </w:r>
      <w:proofErr w:type="spellStart"/>
      <w:r w:rsidRPr="004C7F00">
        <w:t>Kazemifar</w:t>
      </w:r>
      <w:proofErr w:type="spellEnd"/>
      <w:r w:rsidRPr="004C7F00">
        <w:t xml:space="preserve"> A. Is vitamin D deficiency associated with non-specific musculoskeletal pain? Glob J Health Sci. 2012. doi:10.5539/gjhs.v5n1p107. </w:t>
      </w:r>
    </w:p>
    <w:p w:rsidR="004C7F00" w:rsidRPr="004C7F00" w:rsidRDefault="004C7F00" w:rsidP="004C7F00">
      <w:pPr>
        <w:pStyle w:val="Body"/>
        <w:numPr>
          <w:ilvl w:val="0"/>
          <w:numId w:val="18"/>
        </w:numPr>
      </w:pPr>
      <w:r w:rsidRPr="004C7F00">
        <w:t xml:space="preserve">Heath K, </w:t>
      </w:r>
      <w:proofErr w:type="spellStart"/>
      <w:r w:rsidRPr="004C7F00">
        <w:t>Elovic</w:t>
      </w:r>
      <w:proofErr w:type="spellEnd"/>
      <w:r w:rsidRPr="004C7F00">
        <w:t xml:space="preserve"> E. Vitamin D deficiency: implications in the rehabilitation setting. Am J </w:t>
      </w:r>
      <w:proofErr w:type="spellStart"/>
      <w:r w:rsidRPr="004C7F00">
        <w:t>Phys</w:t>
      </w:r>
      <w:proofErr w:type="spellEnd"/>
      <w:r w:rsidRPr="004C7F00">
        <w:t xml:space="preserve"> Med </w:t>
      </w:r>
      <w:proofErr w:type="spellStart"/>
      <w:proofErr w:type="gramStart"/>
      <w:r w:rsidRPr="004C7F00">
        <w:t>Rehabil</w:t>
      </w:r>
      <w:proofErr w:type="spellEnd"/>
      <w:r w:rsidRPr="004C7F00">
        <w:t>.</w:t>
      </w:r>
      <w:proofErr w:type="gramEnd"/>
      <w:r w:rsidRPr="004C7F00">
        <w:t xml:space="preserve"> 2006. doi:10.1097/01.phm.0000242622.23195.61. </w:t>
      </w:r>
    </w:p>
    <w:p w:rsidR="004C7F00" w:rsidRPr="004C7F00" w:rsidRDefault="004C7F00" w:rsidP="004C7F00">
      <w:pPr>
        <w:pStyle w:val="Body"/>
        <w:numPr>
          <w:ilvl w:val="0"/>
          <w:numId w:val="18"/>
        </w:numPr>
      </w:pPr>
      <w:proofErr w:type="spellStart"/>
      <w:r w:rsidRPr="004C7F00">
        <w:t>Heidari</w:t>
      </w:r>
      <w:proofErr w:type="spellEnd"/>
      <w:r w:rsidRPr="004C7F00">
        <w:t xml:space="preserve"> B, </w:t>
      </w:r>
      <w:proofErr w:type="spellStart"/>
      <w:r w:rsidRPr="004C7F00">
        <w:t>Shirvani</w:t>
      </w:r>
      <w:proofErr w:type="spellEnd"/>
      <w:r w:rsidRPr="004C7F00">
        <w:t xml:space="preserve"> J, </w:t>
      </w:r>
      <w:proofErr w:type="spellStart"/>
      <w:r w:rsidRPr="004C7F00">
        <w:t>Firouzjahi</w:t>
      </w:r>
      <w:proofErr w:type="spellEnd"/>
      <w:r w:rsidRPr="004C7F00">
        <w:t xml:space="preserve"> A, </w:t>
      </w:r>
      <w:proofErr w:type="spellStart"/>
      <w:r w:rsidRPr="004C7F00">
        <w:t>Heidari</w:t>
      </w:r>
      <w:proofErr w:type="spellEnd"/>
      <w:r w:rsidRPr="004C7F00">
        <w:t xml:space="preserve"> P, </w:t>
      </w:r>
      <w:proofErr w:type="spellStart"/>
      <w:r w:rsidRPr="004C7F00">
        <w:t>Hajian-Tilaki</w:t>
      </w:r>
      <w:proofErr w:type="spellEnd"/>
      <w:r w:rsidRPr="004C7F00">
        <w:t xml:space="preserve"> K. Association between nonspecific skeletal pain and vitamin D deficiency. </w:t>
      </w:r>
      <w:proofErr w:type="spellStart"/>
      <w:r w:rsidRPr="004C7F00">
        <w:t>Int</w:t>
      </w:r>
      <w:proofErr w:type="spellEnd"/>
      <w:r w:rsidRPr="004C7F00">
        <w:t xml:space="preserve"> J Rheum Dis. 2010. doi:10.1111/j.1756-185X.2010.01561.x. </w:t>
      </w:r>
    </w:p>
    <w:p w:rsidR="004C7F00" w:rsidRPr="004C7F00" w:rsidRDefault="004C7F00" w:rsidP="004C7F00">
      <w:pPr>
        <w:pStyle w:val="Body"/>
        <w:numPr>
          <w:ilvl w:val="0"/>
          <w:numId w:val="18"/>
        </w:numPr>
      </w:pPr>
      <w:proofErr w:type="spellStart"/>
      <w:r w:rsidRPr="004C7F00">
        <w:t>Helde-Frankling</w:t>
      </w:r>
      <w:proofErr w:type="spellEnd"/>
      <w:r w:rsidRPr="004C7F00">
        <w:t xml:space="preserve"> M, </w:t>
      </w:r>
      <w:proofErr w:type="spellStart"/>
      <w:r w:rsidRPr="004C7F00">
        <w:t>Björkhem</w:t>
      </w:r>
      <w:proofErr w:type="spellEnd"/>
      <w:r w:rsidRPr="004C7F00">
        <w:t xml:space="preserve">-Bergman L. Vitamin D in pain management. </w:t>
      </w:r>
      <w:proofErr w:type="spellStart"/>
      <w:r w:rsidRPr="004C7F00">
        <w:t>Int</w:t>
      </w:r>
      <w:proofErr w:type="spellEnd"/>
      <w:r w:rsidRPr="004C7F00">
        <w:t xml:space="preserve"> J </w:t>
      </w:r>
      <w:proofErr w:type="spellStart"/>
      <w:r w:rsidRPr="004C7F00">
        <w:t>Mol</w:t>
      </w:r>
      <w:proofErr w:type="spellEnd"/>
      <w:r w:rsidRPr="004C7F00">
        <w:t xml:space="preserve"> Sci. 2017. </w:t>
      </w:r>
      <w:proofErr w:type="gramStart"/>
      <w:r w:rsidRPr="004C7F00">
        <w:t>doi:</w:t>
      </w:r>
      <w:proofErr w:type="gramEnd"/>
      <w:r w:rsidRPr="004C7F00">
        <w:t xml:space="preserve">10.3390/ijms18102170. </w:t>
      </w:r>
    </w:p>
    <w:p w:rsidR="004C7F00" w:rsidRPr="004C7F00" w:rsidRDefault="004C7F00" w:rsidP="004C7F00">
      <w:pPr>
        <w:pStyle w:val="Body"/>
        <w:numPr>
          <w:ilvl w:val="0"/>
          <w:numId w:val="18"/>
        </w:numPr>
      </w:pPr>
      <w:proofErr w:type="spellStart"/>
      <w:r w:rsidRPr="004C7F00">
        <w:t>Holick</w:t>
      </w:r>
      <w:proofErr w:type="spellEnd"/>
      <w:r w:rsidRPr="004C7F00">
        <w:t xml:space="preserve"> MF. Vitamin D deficiency: what a pain it is. Mayo </w:t>
      </w:r>
      <w:proofErr w:type="spellStart"/>
      <w:r w:rsidRPr="004C7F00">
        <w:t>Clin</w:t>
      </w:r>
      <w:proofErr w:type="spellEnd"/>
      <w:r w:rsidRPr="004C7F00">
        <w:t xml:space="preserve"> Proc. 2003. doi:10.4065/78.12.1457. </w:t>
      </w:r>
    </w:p>
    <w:p w:rsidR="004C7F00" w:rsidRPr="004C7F00" w:rsidRDefault="004C7F00" w:rsidP="004C7F00">
      <w:pPr>
        <w:pStyle w:val="Body"/>
        <w:numPr>
          <w:ilvl w:val="0"/>
          <w:numId w:val="18"/>
        </w:numPr>
      </w:pPr>
      <w:r w:rsidRPr="004C7F00">
        <w:t xml:space="preserve">Kumar D, </w:t>
      </w:r>
      <w:proofErr w:type="spellStart"/>
      <w:r w:rsidRPr="004C7F00">
        <w:t>Vijh</w:t>
      </w:r>
      <w:proofErr w:type="spellEnd"/>
      <w:r w:rsidRPr="004C7F00">
        <w:t xml:space="preserve"> V. Vitamin D deficiency and its association with musculoskeletal pain. </w:t>
      </w:r>
      <w:proofErr w:type="spellStart"/>
      <w:r w:rsidRPr="004C7F00">
        <w:t>Acta</w:t>
      </w:r>
      <w:proofErr w:type="spellEnd"/>
      <w:r w:rsidRPr="004C7F00">
        <w:t xml:space="preserve"> Med Int. 2025. doi:10.21276/amit.2025.v12.i3.256. </w:t>
      </w:r>
    </w:p>
    <w:p w:rsidR="004C7F00" w:rsidRPr="004C7F00" w:rsidRDefault="004C7F00" w:rsidP="004C7F00">
      <w:pPr>
        <w:pStyle w:val="Body"/>
        <w:numPr>
          <w:ilvl w:val="0"/>
          <w:numId w:val="18"/>
        </w:numPr>
      </w:pPr>
      <w:r w:rsidRPr="004C7F00">
        <w:t xml:space="preserve">Lombardo M, </w:t>
      </w:r>
      <w:proofErr w:type="spellStart"/>
      <w:r w:rsidRPr="004C7F00">
        <w:t>Feraco</w:t>
      </w:r>
      <w:proofErr w:type="spellEnd"/>
      <w:r w:rsidRPr="004C7F00">
        <w:t xml:space="preserve"> A, </w:t>
      </w:r>
      <w:proofErr w:type="spellStart"/>
      <w:r w:rsidRPr="004C7F00">
        <w:t>Ottaviani</w:t>
      </w:r>
      <w:proofErr w:type="spellEnd"/>
      <w:r w:rsidRPr="004C7F00">
        <w:t xml:space="preserve"> M, Rizzo G, </w:t>
      </w:r>
      <w:proofErr w:type="spellStart"/>
      <w:r w:rsidRPr="004C7F00">
        <w:t>Camajani</w:t>
      </w:r>
      <w:proofErr w:type="spellEnd"/>
      <w:r w:rsidRPr="004C7F00">
        <w:t xml:space="preserve"> E, </w:t>
      </w:r>
      <w:proofErr w:type="spellStart"/>
      <w:r w:rsidRPr="004C7F00">
        <w:t>Caprio</w:t>
      </w:r>
      <w:proofErr w:type="spellEnd"/>
      <w:r w:rsidRPr="004C7F00">
        <w:t xml:space="preserve"> M, et al. The efficacy of vitamin D supplementation in the treatment of fibromyalgia syndrome and chronic musculoskeletal pain. Nutrients. 2022</w:t>
      </w:r>
      <w:proofErr w:type="gramStart"/>
      <w:r w:rsidRPr="004C7F00">
        <w:t>;14</w:t>
      </w:r>
      <w:proofErr w:type="gramEnd"/>
      <w:r w:rsidRPr="004C7F00">
        <w:t xml:space="preserve">(15):3010. </w:t>
      </w:r>
      <w:proofErr w:type="gramStart"/>
      <w:r w:rsidRPr="004C7F00">
        <w:t>doi:</w:t>
      </w:r>
      <w:proofErr w:type="gramEnd"/>
      <w:r w:rsidRPr="004C7F00">
        <w:t xml:space="preserve">10.3390/nu14153010. </w:t>
      </w:r>
    </w:p>
    <w:p w:rsidR="004C7F00" w:rsidRPr="004C7F00" w:rsidRDefault="004C7F00" w:rsidP="004C7F00">
      <w:pPr>
        <w:pStyle w:val="Body"/>
        <w:numPr>
          <w:ilvl w:val="0"/>
          <w:numId w:val="18"/>
        </w:numPr>
      </w:pPr>
      <w:proofErr w:type="spellStart"/>
      <w:r w:rsidRPr="004C7F00">
        <w:t>Mascarenhas</w:t>
      </w:r>
      <w:proofErr w:type="spellEnd"/>
      <w:r w:rsidRPr="004C7F00">
        <w:t xml:space="preserve"> R, </w:t>
      </w:r>
      <w:proofErr w:type="spellStart"/>
      <w:r w:rsidRPr="004C7F00">
        <w:t>Mobarhan</w:t>
      </w:r>
      <w:proofErr w:type="spellEnd"/>
      <w:r w:rsidRPr="004C7F00">
        <w:t xml:space="preserve"> S. </w:t>
      </w:r>
      <w:proofErr w:type="spellStart"/>
      <w:r w:rsidRPr="004C7F00">
        <w:t>Hypovitaminosis</w:t>
      </w:r>
      <w:proofErr w:type="spellEnd"/>
      <w:r w:rsidRPr="004C7F00">
        <w:t xml:space="preserve"> D-induced pain. </w:t>
      </w:r>
      <w:proofErr w:type="spellStart"/>
      <w:r w:rsidRPr="004C7F00">
        <w:t>Nutr</w:t>
      </w:r>
      <w:proofErr w:type="spellEnd"/>
      <w:r w:rsidRPr="004C7F00">
        <w:t xml:space="preserve"> Rev. 2004. doi:10.1111/J.1753-4887.2004.TB00061.X. </w:t>
      </w:r>
    </w:p>
    <w:p w:rsidR="004C7F00" w:rsidRPr="004C7F00" w:rsidRDefault="004C7F00" w:rsidP="004C7F00">
      <w:pPr>
        <w:pStyle w:val="Body"/>
        <w:numPr>
          <w:ilvl w:val="0"/>
          <w:numId w:val="18"/>
        </w:numPr>
      </w:pPr>
      <w:proofErr w:type="spellStart"/>
      <w:r w:rsidRPr="004C7F00">
        <w:t>Matossian</w:t>
      </w:r>
      <w:proofErr w:type="spellEnd"/>
      <w:r w:rsidRPr="004C7F00">
        <w:t xml:space="preserve">-Motley DL, Drake D, </w:t>
      </w:r>
      <w:proofErr w:type="spellStart"/>
      <w:r w:rsidRPr="004C7F00">
        <w:t>Samimi</w:t>
      </w:r>
      <w:proofErr w:type="spellEnd"/>
      <w:r w:rsidRPr="004C7F00">
        <w:t xml:space="preserve"> J, Camargo C, </w:t>
      </w:r>
      <w:proofErr w:type="spellStart"/>
      <w:r w:rsidRPr="004C7F00">
        <w:t>Quraishi</w:t>
      </w:r>
      <w:proofErr w:type="spellEnd"/>
      <w:r w:rsidRPr="004C7F00">
        <w:t xml:space="preserve"> S. Association between serum 25(OH</w:t>
      </w:r>
      <w:proofErr w:type="gramStart"/>
      <w:r w:rsidRPr="004C7F00">
        <w:t>)D</w:t>
      </w:r>
      <w:proofErr w:type="gramEnd"/>
      <w:r w:rsidRPr="004C7F00">
        <w:t xml:space="preserve"> level and nonspecific musculoskeletal pain in acute rehabilitation unit patients. JPEN J </w:t>
      </w:r>
      <w:proofErr w:type="spellStart"/>
      <w:r w:rsidRPr="004C7F00">
        <w:t>Parenter</w:t>
      </w:r>
      <w:proofErr w:type="spellEnd"/>
      <w:r w:rsidRPr="004C7F00">
        <w:t xml:space="preserve"> Enteral </w:t>
      </w:r>
      <w:proofErr w:type="spellStart"/>
      <w:r w:rsidRPr="004C7F00">
        <w:t>Nutr</w:t>
      </w:r>
      <w:proofErr w:type="spellEnd"/>
      <w:r w:rsidRPr="004C7F00">
        <w:t xml:space="preserve">. 2016. </w:t>
      </w:r>
      <w:proofErr w:type="gramStart"/>
      <w:r w:rsidRPr="004C7F00">
        <w:t>doi:</w:t>
      </w:r>
      <w:proofErr w:type="gramEnd"/>
      <w:r w:rsidRPr="004C7F00">
        <w:t xml:space="preserve">10.1177/0148607114555909. </w:t>
      </w:r>
    </w:p>
    <w:p w:rsidR="004C7F00" w:rsidRPr="004C7F00" w:rsidRDefault="004C7F00" w:rsidP="004C7F00">
      <w:pPr>
        <w:pStyle w:val="Body"/>
        <w:numPr>
          <w:ilvl w:val="0"/>
          <w:numId w:val="18"/>
        </w:numPr>
      </w:pPr>
      <w:r w:rsidRPr="004C7F00">
        <w:t xml:space="preserve">Myers KJ. Vitamin D deficiency and chronic pain: cause and effect or epiphenomenon? Mayo </w:t>
      </w:r>
      <w:proofErr w:type="spellStart"/>
      <w:r w:rsidRPr="004C7F00">
        <w:t>Clin</w:t>
      </w:r>
      <w:proofErr w:type="spellEnd"/>
      <w:r w:rsidRPr="004C7F00">
        <w:t xml:space="preserve"> Proc. 2004. doi:10.4065/79.5.695. </w:t>
      </w:r>
    </w:p>
    <w:p w:rsidR="004C7F00" w:rsidRPr="004C7F00" w:rsidRDefault="004C7F00" w:rsidP="004C7F00">
      <w:pPr>
        <w:pStyle w:val="Body"/>
        <w:numPr>
          <w:ilvl w:val="0"/>
          <w:numId w:val="18"/>
        </w:numPr>
      </w:pPr>
      <w:proofErr w:type="spellStart"/>
      <w:r w:rsidRPr="004C7F00">
        <w:t>Pereda</w:t>
      </w:r>
      <w:proofErr w:type="spellEnd"/>
      <w:r w:rsidRPr="004C7F00">
        <w:t xml:space="preserve"> CA, </w:t>
      </w:r>
      <w:proofErr w:type="spellStart"/>
      <w:r w:rsidRPr="004C7F00">
        <w:t>Nishishinya</w:t>
      </w:r>
      <w:proofErr w:type="spellEnd"/>
      <w:r w:rsidRPr="004C7F00">
        <w:t xml:space="preserve"> MB. ¿</w:t>
      </w:r>
      <w:proofErr w:type="spellStart"/>
      <w:r w:rsidRPr="004C7F00">
        <w:t>Existe</w:t>
      </w:r>
      <w:proofErr w:type="spellEnd"/>
      <w:r w:rsidRPr="004C7F00">
        <w:t xml:space="preserve"> </w:t>
      </w:r>
      <w:proofErr w:type="spellStart"/>
      <w:r w:rsidRPr="004C7F00">
        <w:t>relación</w:t>
      </w:r>
      <w:proofErr w:type="spellEnd"/>
      <w:r w:rsidRPr="004C7F00">
        <w:t xml:space="preserve"> entre los </w:t>
      </w:r>
      <w:proofErr w:type="spellStart"/>
      <w:r w:rsidRPr="004C7F00">
        <w:t>niveles</w:t>
      </w:r>
      <w:proofErr w:type="spellEnd"/>
      <w:r w:rsidRPr="004C7F00">
        <w:t xml:space="preserve"> </w:t>
      </w:r>
      <w:proofErr w:type="spellStart"/>
      <w:r w:rsidRPr="004C7F00">
        <w:t>séricos</w:t>
      </w:r>
      <w:proofErr w:type="spellEnd"/>
      <w:r w:rsidRPr="004C7F00">
        <w:t xml:space="preserve"> de </w:t>
      </w:r>
      <w:proofErr w:type="spellStart"/>
      <w:r w:rsidRPr="004C7F00">
        <w:t>vitamina</w:t>
      </w:r>
      <w:proofErr w:type="spellEnd"/>
      <w:r w:rsidRPr="004C7F00">
        <w:t xml:space="preserve"> D (25OHD) y el dolor </w:t>
      </w:r>
      <w:proofErr w:type="spellStart"/>
      <w:r w:rsidRPr="004C7F00">
        <w:t>musculoesquelético</w:t>
      </w:r>
      <w:proofErr w:type="spellEnd"/>
      <w:r w:rsidRPr="004C7F00">
        <w:t xml:space="preserve"> </w:t>
      </w:r>
      <w:proofErr w:type="spellStart"/>
      <w:r w:rsidRPr="004C7F00">
        <w:t>relacionado</w:t>
      </w:r>
      <w:proofErr w:type="spellEnd"/>
      <w:r w:rsidRPr="004C7F00">
        <w:t xml:space="preserve"> con la </w:t>
      </w:r>
      <w:proofErr w:type="spellStart"/>
      <w:r w:rsidRPr="004C7F00">
        <w:t>ingesta</w:t>
      </w:r>
      <w:proofErr w:type="spellEnd"/>
      <w:r w:rsidRPr="004C7F00">
        <w:t xml:space="preserve"> de </w:t>
      </w:r>
      <w:proofErr w:type="spellStart"/>
      <w:r w:rsidRPr="004C7F00">
        <w:t>estatinas</w:t>
      </w:r>
      <w:proofErr w:type="spellEnd"/>
      <w:r w:rsidRPr="004C7F00">
        <w:t xml:space="preserve">? </w:t>
      </w:r>
      <w:proofErr w:type="spellStart"/>
      <w:r w:rsidRPr="004C7F00">
        <w:t>Revisión</w:t>
      </w:r>
      <w:proofErr w:type="spellEnd"/>
      <w:r w:rsidRPr="004C7F00">
        <w:t xml:space="preserve"> </w:t>
      </w:r>
      <w:proofErr w:type="spellStart"/>
      <w:r w:rsidRPr="004C7F00">
        <w:t>sistemática</w:t>
      </w:r>
      <w:proofErr w:type="spellEnd"/>
      <w:r w:rsidRPr="004C7F00">
        <w:t xml:space="preserve">. </w:t>
      </w:r>
      <w:proofErr w:type="spellStart"/>
      <w:r w:rsidRPr="004C7F00">
        <w:t>Reumatol</w:t>
      </w:r>
      <w:proofErr w:type="spellEnd"/>
      <w:r w:rsidRPr="004C7F00">
        <w:t xml:space="preserve"> </w:t>
      </w:r>
      <w:proofErr w:type="spellStart"/>
      <w:r w:rsidRPr="004C7F00">
        <w:t>Clin</w:t>
      </w:r>
      <w:proofErr w:type="spellEnd"/>
      <w:r w:rsidRPr="004C7F00">
        <w:t>. 2016</w:t>
      </w:r>
      <w:proofErr w:type="gramStart"/>
      <w:r w:rsidRPr="004C7F00">
        <w:t>;12</w:t>
      </w:r>
      <w:proofErr w:type="gramEnd"/>
      <w:r w:rsidRPr="004C7F00">
        <w:t xml:space="preserve">(6):331-335. doi:10.1016/j.reuma.2016.03.009. </w:t>
      </w:r>
    </w:p>
    <w:p w:rsidR="004C7F00" w:rsidRPr="004C7F00" w:rsidRDefault="004C7F00" w:rsidP="004C7F00">
      <w:pPr>
        <w:pStyle w:val="Body"/>
        <w:numPr>
          <w:ilvl w:val="0"/>
          <w:numId w:val="18"/>
        </w:numPr>
      </w:pPr>
      <w:proofErr w:type="spellStart"/>
      <w:r w:rsidRPr="004C7F00">
        <w:t>Plotnikoff</w:t>
      </w:r>
      <w:proofErr w:type="spellEnd"/>
      <w:r w:rsidRPr="004C7F00">
        <w:t xml:space="preserve"> G, Quigley J. Prevalence of severe </w:t>
      </w:r>
      <w:proofErr w:type="spellStart"/>
      <w:r w:rsidRPr="004C7F00">
        <w:t>hypovitaminosis</w:t>
      </w:r>
      <w:proofErr w:type="spellEnd"/>
      <w:r w:rsidRPr="004C7F00">
        <w:t xml:space="preserve"> D in patients with persistent, nonspecific musculoskeletal pain. Mayo </w:t>
      </w:r>
      <w:proofErr w:type="spellStart"/>
      <w:r w:rsidRPr="004C7F00">
        <w:t>Clin</w:t>
      </w:r>
      <w:proofErr w:type="spellEnd"/>
      <w:r w:rsidRPr="004C7F00">
        <w:t xml:space="preserve"> Proc. 2003. doi:10.4065/78.12.1463. </w:t>
      </w:r>
    </w:p>
    <w:p w:rsidR="004C7F00" w:rsidRPr="004C7F00" w:rsidRDefault="004C7F00" w:rsidP="004C7F00">
      <w:pPr>
        <w:pStyle w:val="Body"/>
        <w:numPr>
          <w:ilvl w:val="0"/>
          <w:numId w:val="18"/>
        </w:numPr>
      </w:pPr>
      <w:proofErr w:type="spellStart"/>
      <w:r w:rsidRPr="004C7F00">
        <w:t>Roesel</w:t>
      </w:r>
      <w:proofErr w:type="spellEnd"/>
      <w:r w:rsidRPr="004C7F00">
        <w:t xml:space="preserve"> T. Vitamin D deficiency in Iraq and Afghanistan veterans with chronic musculoskeletal pain. J </w:t>
      </w:r>
      <w:proofErr w:type="spellStart"/>
      <w:r w:rsidRPr="004C7F00">
        <w:t>Occup</w:t>
      </w:r>
      <w:proofErr w:type="spellEnd"/>
      <w:r w:rsidRPr="004C7F00">
        <w:t xml:space="preserve"> Environ Med. 2008. doi:10.1097/JOM.0b013e31817a834b. </w:t>
      </w:r>
    </w:p>
    <w:p w:rsidR="004C7F00" w:rsidRPr="004C7F00" w:rsidRDefault="004C7F00" w:rsidP="004C7F00">
      <w:pPr>
        <w:pStyle w:val="Body"/>
        <w:numPr>
          <w:ilvl w:val="0"/>
          <w:numId w:val="18"/>
        </w:numPr>
      </w:pPr>
      <w:proofErr w:type="spellStart"/>
      <w:r w:rsidRPr="004C7F00">
        <w:t>Schreuder</w:t>
      </w:r>
      <w:proofErr w:type="spellEnd"/>
      <w:r w:rsidRPr="004C7F00">
        <w:t xml:space="preserve"> F, </w:t>
      </w:r>
      <w:proofErr w:type="spellStart"/>
      <w:r w:rsidRPr="004C7F00">
        <w:t>Bernsen</w:t>
      </w:r>
      <w:proofErr w:type="spellEnd"/>
      <w:r w:rsidRPr="004C7F00">
        <w:t xml:space="preserve"> R, van der </w:t>
      </w:r>
      <w:proofErr w:type="spellStart"/>
      <w:r w:rsidRPr="004C7F00">
        <w:t>Wouden</w:t>
      </w:r>
      <w:proofErr w:type="spellEnd"/>
      <w:r w:rsidRPr="004C7F00">
        <w:t xml:space="preserve"> JC. Vitamin D supplementation for nonspecific musculoskeletal pain in non-Western immigrants: a randomized controlled trial. Ann </w:t>
      </w:r>
      <w:proofErr w:type="spellStart"/>
      <w:proofErr w:type="gramStart"/>
      <w:r w:rsidRPr="004C7F00">
        <w:t>Fam</w:t>
      </w:r>
      <w:proofErr w:type="spellEnd"/>
      <w:proofErr w:type="gramEnd"/>
      <w:r w:rsidRPr="004C7F00">
        <w:t xml:space="preserve"> Med. 2012. doi:10.1370/afm.1402. </w:t>
      </w:r>
    </w:p>
    <w:p w:rsidR="004C7F00" w:rsidRPr="004C7F00" w:rsidRDefault="004C7F00" w:rsidP="004C7F00">
      <w:pPr>
        <w:pStyle w:val="Body"/>
        <w:numPr>
          <w:ilvl w:val="0"/>
          <w:numId w:val="18"/>
        </w:numPr>
      </w:pPr>
      <w:proofErr w:type="spellStart"/>
      <w:r w:rsidRPr="004C7F00">
        <w:t>Tague</w:t>
      </w:r>
      <w:proofErr w:type="spellEnd"/>
      <w:r w:rsidRPr="004C7F00">
        <w:t xml:space="preserve"> SE, Clarke GL, Winter MK, </w:t>
      </w:r>
      <w:proofErr w:type="spellStart"/>
      <w:r w:rsidRPr="004C7F00">
        <w:t>McCarson</w:t>
      </w:r>
      <w:proofErr w:type="spellEnd"/>
      <w:r w:rsidRPr="004C7F00">
        <w:t xml:space="preserve"> KE, Wright DE, Smith PG. Vitamin D deficiency promotes skeletal muscle hypersensitivity and sensory </w:t>
      </w:r>
      <w:proofErr w:type="spellStart"/>
      <w:r w:rsidRPr="004C7F00">
        <w:t>hyperinnervation</w:t>
      </w:r>
      <w:proofErr w:type="spellEnd"/>
      <w:r w:rsidRPr="004C7F00">
        <w:t xml:space="preserve">. J </w:t>
      </w:r>
      <w:proofErr w:type="spellStart"/>
      <w:r w:rsidRPr="004C7F00">
        <w:t>Neurosci</w:t>
      </w:r>
      <w:proofErr w:type="spellEnd"/>
      <w:r w:rsidRPr="004C7F00">
        <w:t>. 2011</w:t>
      </w:r>
      <w:proofErr w:type="gramStart"/>
      <w:r w:rsidRPr="004C7F00">
        <w:t>;31</w:t>
      </w:r>
      <w:proofErr w:type="gramEnd"/>
      <w:r w:rsidRPr="004C7F00">
        <w:t xml:space="preserve">(39):13728-13738. doi:10.1523/jneurosci.3637-11.2011. </w:t>
      </w:r>
    </w:p>
    <w:p w:rsidR="004C7F00" w:rsidRPr="004C7F00" w:rsidRDefault="004C7F00" w:rsidP="004C7F00">
      <w:pPr>
        <w:pStyle w:val="Body"/>
        <w:numPr>
          <w:ilvl w:val="0"/>
          <w:numId w:val="18"/>
        </w:numPr>
      </w:pPr>
      <w:r w:rsidRPr="004C7F00">
        <w:t xml:space="preserve">Warner A, </w:t>
      </w:r>
      <w:proofErr w:type="spellStart"/>
      <w:r w:rsidRPr="004C7F00">
        <w:t>Arnspiger</w:t>
      </w:r>
      <w:proofErr w:type="spellEnd"/>
      <w:r w:rsidRPr="004C7F00">
        <w:t xml:space="preserve"> SA. Diffuse musculoskeletal pain is not associated with low vitamin D levels or improved by treatment with vitamin D. J </w:t>
      </w:r>
      <w:proofErr w:type="spellStart"/>
      <w:r w:rsidRPr="004C7F00">
        <w:t>Clin</w:t>
      </w:r>
      <w:proofErr w:type="spellEnd"/>
      <w:r w:rsidRPr="004C7F00">
        <w:t xml:space="preserve"> </w:t>
      </w:r>
      <w:proofErr w:type="spellStart"/>
      <w:r w:rsidRPr="004C7F00">
        <w:t>Rheumatol</w:t>
      </w:r>
      <w:proofErr w:type="spellEnd"/>
      <w:r w:rsidRPr="004C7F00">
        <w:t xml:space="preserve">. 2008. doi:10.1097/RHU.0b013e31816356a9. </w:t>
      </w:r>
    </w:p>
    <w:p w:rsidR="004C7F00" w:rsidRPr="004C7F00" w:rsidRDefault="004C7F00" w:rsidP="004C7F00">
      <w:pPr>
        <w:pStyle w:val="Body"/>
        <w:numPr>
          <w:ilvl w:val="0"/>
          <w:numId w:val="18"/>
        </w:numPr>
      </w:pPr>
      <w:proofErr w:type="spellStart"/>
      <w:r w:rsidRPr="004C7F00">
        <w:lastRenderedPageBreak/>
        <w:t>Wintermeyer</w:t>
      </w:r>
      <w:proofErr w:type="spellEnd"/>
      <w:r w:rsidRPr="004C7F00">
        <w:t xml:space="preserve"> E, </w:t>
      </w:r>
      <w:proofErr w:type="spellStart"/>
      <w:r w:rsidRPr="004C7F00">
        <w:t>Ihle</w:t>
      </w:r>
      <w:proofErr w:type="spellEnd"/>
      <w:r w:rsidRPr="004C7F00">
        <w:t xml:space="preserve"> C, </w:t>
      </w:r>
      <w:proofErr w:type="spellStart"/>
      <w:r w:rsidRPr="004C7F00">
        <w:t>Ehnert</w:t>
      </w:r>
      <w:proofErr w:type="spellEnd"/>
      <w:r w:rsidRPr="004C7F00">
        <w:t xml:space="preserve"> S, </w:t>
      </w:r>
      <w:proofErr w:type="spellStart"/>
      <w:r w:rsidRPr="004C7F00">
        <w:t>Stöckle</w:t>
      </w:r>
      <w:proofErr w:type="spellEnd"/>
      <w:r w:rsidRPr="004C7F00">
        <w:t xml:space="preserve"> U, Ochs G, de </w:t>
      </w:r>
      <w:proofErr w:type="spellStart"/>
      <w:r w:rsidRPr="004C7F00">
        <w:t>Zwart</w:t>
      </w:r>
      <w:proofErr w:type="spellEnd"/>
      <w:r w:rsidRPr="004C7F00">
        <w:t xml:space="preserve"> P, et al. Crucial role of vitamin D in the musculoskeletal system. Nutrients. 2016. </w:t>
      </w:r>
      <w:proofErr w:type="gramStart"/>
      <w:r w:rsidRPr="004C7F00">
        <w:t>doi:</w:t>
      </w:r>
      <w:proofErr w:type="gramEnd"/>
      <w:r w:rsidRPr="004C7F00">
        <w:t xml:space="preserve">10.3390/nu8060319. </w:t>
      </w:r>
    </w:p>
    <w:p w:rsidR="004C7F00" w:rsidRPr="004C7F00" w:rsidRDefault="004C7F00" w:rsidP="004C7F00">
      <w:pPr>
        <w:pStyle w:val="Body"/>
        <w:numPr>
          <w:ilvl w:val="0"/>
          <w:numId w:val="18"/>
        </w:numPr>
      </w:pPr>
      <w:r w:rsidRPr="004C7F00">
        <w:t xml:space="preserve">Wu Z, </w:t>
      </w:r>
      <w:proofErr w:type="spellStart"/>
      <w:r w:rsidRPr="004C7F00">
        <w:t>Malihi</w:t>
      </w:r>
      <w:proofErr w:type="spellEnd"/>
      <w:r w:rsidRPr="004C7F00">
        <w:t xml:space="preserve"> Z, Stewart A, </w:t>
      </w:r>
      <w:proofErr w:type="spellStart"/>
      <w:r w:rsidRPr="004C7F00">
        <w:t>Lawes</w:t>
      </w:r>
      <w:proofErr w:type="spellEnd"/>
      <w:r w:rsidRPr="004C7F00">
        <w:t xml:space="preserve"> C, </w:t>
      </w:r>
      <w:proofErr w:type="spellStart"/>
      <w:r w:rsidRPr="004C7F00">
        <w:t>Scragg</w:t>
      </w:r>
      <w:proofErr w:type="spellEnd"/>
      <w:r w:rsidRPr="004C7F00">
        <w:t xml:space="preserve"> R. The association between vitamin D concentration and pain: a systematic review and meta-analysis. Public Health </w:t>
      </w:r>
      <w:proofErr w:type="spellStart"/>
      <w:r w:rsidRPr="004C7F00">
        <w:t>Nutr</w:t>
      </w:r>
      <w:proofErr w:type="spellEnd"/>
      <w:r w:rsidRPr="004C7F00">
        <w:t xml:space="preserve">. 2018. </w:t>
      </w:r>
      <w:proofErr w:type="gramStart"/>
      <w:r w:rsidRPr="004C7F00">
        <w:t>doi:</w:t>
      </w:r>
      <w:proofErr w:type="gramEnd"/>
      <w:r w:rsidRPr="004C7F00">
        <w:t xml:space="preserve">10.1017/S1368980018000551. </w:t>
      </w:r>
    </w:p>
    <w:p w:rsidR="004C7F00" w:rsidRPr="004C7F00" w:rsidRDefault="004C7F00" w:rsidP="004C7F00">
      <w:pPr>
        <w:pStyle w:val="Body"/>
        <w:numPr>
          <w:ilvl w:val="0"/>
          <w:numId w:val="18"/>
        </w:numPr>
      </w:pPr>
      <w:proofErr w:type="spellStart"/>
      <w:r w:rsidRPr="004C7F00">
        <w:t>Yılmaz</w:t>
      </w:r>
      <w:proofErr w:type="spellEnd"/>
      <w:r w:rsidRPr="004C7F00">
        <w:t xml:space="preserve"> R, </w:t>
      </w:r>
      <w:proofErr w:type="spellStart"/>
      <w:r w:rsidRPr="004C7F00">
        <w:t>Ozkayit</w:t>
      </w:r>
      <w:proofErr w:type="spellEnd"/>
      <w:r w:rsidRPr="004C7F00">
        <w:t xml:space="preserve"> S. Vitamin D deficiency and chronic widespread pain. EMJ </w:t>
      </w:r>
      <w:proofErr w:type="spellStart"/>
      <w:r w:rsidRPr="004C7F00">
        <w:t>Rheumatol</w:t>
      </w:r>
      <w:proofErr w:type="spellEnd"/>
      <w:r w:rsidRPr="004C7F00">
        <w:t>. 2017. doi:10.33590/</w:t>
      </w:r>
      <w:proofErr w:type="spellStart"/>
      <w:r w:rsidRPr="004C7F00">
        <w:t>emjrheumatol</w:t>
      </w:r>
      <w:proofErr w:type="spellEnd"/>
      <w:r w:rsidRPr="004C7F00">
        <w:t xml:space="preserve">/10311612. </w:t>
      </w:r>
    </w:p>
    <w:p w:rsidR="004C7F00" w:rsidRPr="004C7F00" w:rsidRDefault="004C7F00" w:rsidP="004C7F00">
      <w:pPr>
        <w:pStyle w:val="Body"/>
        <w:numPr>
          <w:ilvl w:val="0"/>
          <w:numId w:val="18"/>
        </w:numPr>
      </w:pPr>
      <w:proofErr w:type="spellStart"/>
      <w:r w:rsidRPr="004C7F00">
        <w:t>Yılmaz</w:t>
      </w:r>
      <w:proofErr w:type="spellEnd"/>
      <w:r w:rsidRPr="004C7F00">
        <w:t xml:space="preserve"> R, </w:t>
      </w:r>
      <w:proofErr w:type="spellStart"/>
      <w:r w:rsidRPr="004C7F00">
        <w:t>Sallı</w:t>
      </w:r>
      <w:proofErr w:type="spellEnd"/>
      <w:r w:rsidRPr="004C7F00">
        <w:t xml:space="preserve"> A, </w:t>
      </w:r>
      <w:proofErr w:type="spellStart"/>
      <w:r w:rsidRPr="004C7F00">
        <w:t>Cingoz</w:t>
      </w:r>
      <w:proofErr w:type="spellEnd"/>
      <w:r w:rsidRPr="004C7F00">
        <w:t xml:space="preserve"> HT, </w:t>
      </w:r>
      <w:proofErr w:type="spellStart"/>
      <w:r w:rsidRPr="004C7F00">
        <w:t>Kucuksen</w:t>
      </w:r>
      <w:proofErr w:type="spellEnd"/>
      <w:r w:rsidRPr="004C7F00">
        <w:t xml:space="preserve"> S, </w:t>
      </w:r>
      <w:proofErr w:type="spellStart"/>
      <w:r w:rsidRPr="004C7F00">
        <w:t>Uğurlu</w:t>
      </w:r>
      <w:proofErr w:type="spellEnd"/>
      <w:r w:rsidRPr="004C7F00">
        <w:t xml:space="preserve"> H. Efficacy of vitamin D replacement therapy on patients with chronic nonspecific widespread musculoskeletal pain with vitamin D deficiency. </w:t>
      </w:r>
      <w:proofErr w:type="spellStart"/>
      <w:r w:rsidRPr="004C7F00">
        <w:t>Int</w:t>
      </w:r>
      <w:proofErr w:type="spellEnd"/>
      <w:r w:rsidRPr="004C7F00">
        <w:t xml:space="preserve"> J Rheum Dis. 2016. doi:10.1111/1756-185X.12960</w:t>
      </w:r>
    </w:p>
    <w:p w:rsidR="004C7F00" w:rsidRPr="004C7F00" w:rsidRDefault="004C7F00" w:rsidP="004C7F00">
      <w:pPr>
        <w:pStyle w:val="Body"/>
        <w:rPr>
          <w:rFonts w:cstheme="majorBidi"/>
          <w:color w:val="000000" w:themeColor="text1"/>
        </w:rPr>
      </w:pPr>
    </w:p>
    <w:p w:rsidR="00441E67" w:rsidRPr="004175AC" w:rsidRDefault="00441E67" w:rsidP="004C7F00">
      <w:pPr>
        <w:pStyle w:val="Body"/>
      </w:pPr>
    </w:p>
    <w:sectPr w:rsidR="00441E67" w:rsidRPr="004175AC"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B57" w:rsidRDefault="00555B57" w:rsidP="005146DA">
      <w:pPr>
        <w:spacing w:after="0" w:line="240" w:lineRule="auto"/>
      </w:pPr>
      <w:r>
        <w:separator/>
      </w:r>
    </w:p>
  </w:endnote>
  <w:endnote w:type="continuationSeparator" w:id="0">
    <w:p w:rsidR="00555B57" w:rsidRDefault="00555B57"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B57" w:rsidRDefault="00555B57" w:rsidP="005146DA">
      <w:pPr>
        <w:spacing w:after="0" w:line="240" w:lineRule="auto"/>
      </w:pPr>
      <w:r>
        <w:separator/>
      </w:r>
    </w:p>
  </w:footnote>
  <w:footnote w:type="continuationSeparator" w:id="0">
    <w:p w:rsidR="00555B57" w:rsidRDefault="00555B57"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4C7F00">
          <w:rPr>
            <w:rStyle w:val="BodyChar"/>
            <w:rFonts w:cstheme="majorBidi"/>
            <w:color w:val="074F6A"/>
            <w:sz w:val="18"/>
            <w:vertAlign w:val="subscript"/>
          </w:rPr>
          <w:t>2003</w:t>
        </w:r>
        <w:r w:rsidRPr="008F6C61">
          <w:rPr>
            <w:rStyle w:val="BodyChar"/>
            <w:rFonts w:cstheme="majorBidi"/>
            <w:color w:val="074F6A"/>
            <w:sz w:val="18"/>
            <w:vertAlign w:val="subscript"/>
          </w:rPr>
          <w:t xml:space="preserve"> | </w:t>
        </w:r>
        <w:r w:rsidR="001D7633">
          <w:rPr>
            <w:rStyle w:val="BodyChar"/>
            <w:rFonts w:cstheme="majorBidi"/>
            <w:color w:val="074F6A"/>
            <w:sz w:val="18"/>
            <w:vertAlign w:val="subscript"/>
          </w:rPr>
          <w:t>2026</w:t>
        </w:r>
        <w:proofErr w:type="gramStart"/>
        <w:r w:rsidRPr="008F6C61">
          <w:rPr>
            <w:rStyle w:val="BodyChar"/>
            <w:rFonts w:cstheme="majorBidi"/>
            <w:color w:val="074F6A"/>
            <w:sz w:val="18"/>
            <w:vertAlign w:val="subscript"/>
          </w:rPr>
          <w:t>;</w:t>
        </w:r>
        <w:r w:rsidR="001D7633">
          <w:rPr>
            <w:rStyle w:val="BodyChar"/>
            <w:rFonts w:cstheme="majorBidi"/>
            <w:color w:val="074F6A"/>
            <w:sz w:val="18"/>
            <w:vertAlign w:val="subscript"/>
          </w:rPr>
          <w:t>6</w:t>
        </w:r>
        <w:proofErr w:type="gramEnd"/>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120F2B" w:rsidRPr="00120F2B">
          <w:rPr>
            <w:rStyle w:val="BodyChar"/>
            <w:rFonts w:cstheme="majorBidi"/>
            <w:noProof/>
            <w:color w:val="074F6A"/>
            <w:vertAlign w:val="subscript"/>
          </w:rPr>
          <w:t>5</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4C7F00" w:rsidRPr="004C7F00">
      <w:rPr>
        <w:rFonts w:ascii="Plantagenet Cherokee" w:hAnsi="Plantagenet Cherokee"/>
        <w:color w:val="0B769F" w:themeColor="accent4" w:themeShade="BF"/>
        <w:sz w:val="14"/>
        <w:szCs w:val="14"/>
      </w:rPr>
      <w:t>10.61919/jhrr.v6i5.2003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751DCE"/>
    <w:multiLevelType w:val="multilevel"/>
    <w:tmpl w:val="611E2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DF1F83"/>
    <w:multiLevelType w:val="hybridMultilevel"/>
    <w:tmpl w:val="1E1A4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8">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8"/>
  </w:num>
  <w:num w:numId="4">
    <w:abstractNumId w:val="13"/>
  </w:num>
  <w:num w:numId="5">
    <w:abstractNumId w:val="14"/>
  </w:num>
  <w:num w:numId="6">
    <w:abstractNumId w:val="3"/>
  </w:num>
  <w:num w:numId="7">
    <w:abstractNumId w:val="16"/>
  </w:num>
  <w:num w:numId="8">
    <w:abstractNumId w:val="10"/>
  </w:num>
  <w:num w:numId="9">
    <w:abstractNumId w:val="1"/>
  </w:num>
  <w:num w:numId="10">
    <w:abstractNumId w:val="12"/>
  </w:num>
  <w:num w:numId="11">
    <w:abstractNumId w:val="2"/>
  </w:num>
  <w:num w:numId="12">
    <w:abstractNumId w:val="0"/>
  </w:num>
  <w:num w:numId="13">
    <w:abstractNumId w:val="6"/>
  </w:num>
  <w:num w:numId="14">
    <w:abstractNumId w:val="9"/>
  </w:num>
  <w:num w:numId="15">
    <w:abstractNumId w:val="17"/>
  </w:num>
  <w:num w:numId="16">
    <w:abstractNumId w:val="11"/>
  </w:num>
  <w:num w:numId="17">
    <w:abstractNumId w:val="4"/>
  </w:num>
  <w:num w:numId="1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00"/>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01E"/>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47F5B"/>
    <w:rsid w:val="00051F5C"/>
    <w:rsid w:val="000529A5"/>
    <w:rsid w:val="00053EFB"/>
    <w:rsid w:val="00055152"/>
    <w:rsid w:val="000566F8"/>
    <w:rsid w:val="00057EC7"/>
    <w:rsid w:val="00061461"/>
    <w:rsid w:val="0006178B"/>
    <w:rsid w:val="00063B00"/>
    <w:rsid w:val="0006433A"/>
    <w:rsid w:val="000645AC"/>
    <w:rsid w:val="0006672E"/>
    <w:rsid w:val="00066DE0"/>
    <w:rsid w:val="00075179"/>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0F2B"/>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2BBA"/>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C7F00"/>
    <w:rsid w:val="004D09D0"/>
    <w:rsid w:val="004D2367"/>
    <w:rsid w:val="004D2547"/>
    <w:rsid w:val="004D26E8"/>
    <w:rsid w:val="004D2849"/>
    <w:rsid w:val="004D396B"/>
    <w:rsid w:val="004D44BE"/>
    <w:rsid w:val="004E143F"/>
    <w:rsid w:val="004E1B5A"/>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5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327F"/>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5:chartTrackingRefBased/>
  <w15:docId w15:val="{0DF911B5-7211-4AE5-8C46-3F0F6B3C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20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154C1-6729-4DBD-83F9-816156DB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12</TotalTime>
  <Pages>8</Pages>
  <Words>4598</Words>
  <Characters>26210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7</cp:revision>
  <cp:lastPrinted>2026-04-24T11:38:00Z</cp:lastPrinted>
  <dcterms:created xsi:type="dcterms:W3CDTF">2026-06-04T08:08:00Z</dcterms:created>
  <dcterms:modified xsi:type="dcterms:W3CDTF">2026-06-04T08:22:00Z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