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E5762C" w:rsidRPr="00E5762C" w:rsidRDefault="00E5762C" w:rsidP="00E5762C">
      <w:pPr>
        <w:pStyle w:val="Body"/>
        <w:spacing w:before="75" w:after="100"/>
        <w:rPr>
          <w:rFonts w:cstheme="majorBidi"/>
          <w:b/>
          <w:bCs/>
          <w:color w:val="000000" w:themeColor="text1"/>
          <w:sz w:val="36"/>
          <w:szCs w:val="36"/>
        </w:rPr>
      </w:pPr>
      <w:r w:rsidRPr="00E5762C">
        <w:rPr>
          <w:rFonts w:cstheme="majorBidi"/>
          <w:b/>
          <w:bCs/>
          <w:color w:val="000000" w:themeColor="text1"/>
          <w:sz w:val="36"/>
          <w:szCs w:val="36"/>
        </w:rPr>
        <w:t xml:space="preserve">Factors Associated With Exercise Capacity in Patients </w:t>
      </w:r>
      <w:proofErr w:type="gramStart"/>
      <w:r w:rsidRPr="00E5762C">
        <w:rPr>
          <w:rFonts w:cstheme="majorBidi"/>
          <w:b/>
          <w:bCs/>
          <w:color w:val="000000" w:themeColor="text1"/>
          <w:sz w:val="36"/>
          <w:szCs w:val="36"/>
        </w:rPr>
        <w:t>With</w:t>
      </w:r>
      <w:proofErr w:type="gramEnd"/>
      <w:r w:rsidRPr="00E5762C">
        <w:rPr>
          <w:rFonts w:cstheme="majorBidi"/>
          <w:b/>
          <w:bCs/>
          <w:color w:val="000000" w:themeColor="text1"/>
          <w:sz w:val="36"/>
          <w:szCs w:val="36"/>
        </w:rPr>
        <w:t xml:space="preserve"> Chronic Obstructive Pulmonary Disease</w:t>
      </w:r>
    </w:p>
    <w:p w:rsidR="00E202E9" w:rsidRPr="00E5762C" w:rsidRDefault="007C1877" w:rsidP="00E5762C">
      <w:pPr>
        <w:pStyle w:val="Body"/>
        <w:spacing w:before="75"/>
        <w:rPr>
          <w:rFonts w:cstheme="majorBidi"/>
          <w:b/>
          <w:bCs/>
          <w:color w:val="074F6A" w:themeColor="accent4" w:themeShade="80"/>
        </w:rPr>
      </w:pPr>
      <w:r w:rsidRPr="007C1877">
        <w:rPr>
          <w:rFonts w:cstheme="majorBidi"/>
          <w:b/>
          <w:bCs/>
          <w:color w:val="074F6A" w:themeColor="accent4" w:themeShade="80"/>
          <w:sz w:val="24"/>
          <w:szCs w:val="24"/>
        </w:rPr>
        <w:t xml:space="preserve">Dr. </w:t>
      </w:r>
      <w:proofErr w:type="spellStart"/>
      <w:r w:rsidR="00E5762C" w:rsidRPr="00E5762C">
        <w:rPr>
          <w:rFonts w:cstheme="majorBidi"/>
          <w:b/>
          <w:bCs/>
          <w:color w:val="074F6A" w:themeColor="accent4" w:themeShade="80"/>
        </w:rPr>
        <w:t>Sheeza</w:t>
      </w:r>
      <w:proofErr w:type="spellEnd"/>
      <w:r w:rsidR="00E5762C">
        <w:rPr>
          <w:rFonts w:cstheme="majorBidi"/>
          <w:b/>
          <w:bCs/>
          <w:color w:val="074F6A" w:themeColor="accent4" w:themeShade="80"/>
        </w:rPr>
        <w:t xml:space="preserve"> </w:t>
      </w:r>
      <w:r w:rsidR="00E5762C" w:rsidRPr="00E5762C">
        <w:rPr>
          <w:rFonts w:cstheme="majorBidi"/>
          <w:b/>
          <w:bCs/>
          <w:color w:val="074F6A" w:themeColor="accent4" w:themeShade="80"/>
        </w:rPr>
        <w:t>Gull</w:t>
      </w:r>
    </w:p>
    <w:p w:rsidR="00607EA1" w:rsidRPr="00BB7230" w:rsidRDefault="00E304EC" w:rsidP="004175AC">
      <w:pPr>
        <w:pStyle w:val="Body"/>
        <w:spacing w:before="75" w:after="75" w:line="240" w:lineRule="auto"/>
        <w:rPr>
          <w:rFonts w:cstheme="majorBidi"/>
          <w:color w:val="000000" w:themeColor="text1"/>
          <w:sz w:val="18"/>
          <w:szCs w:val="16"/>
        </w:rPr>
      </w:pPr>
      <w:proofErr w:type="spellStart"/>
      <w:r>
        <w:rPr>
          <w:rFonts w:cstheme="majorBidi"/>
          <w:color w:val="000000" w:themeColor="text1"/>
          <w:sz w:val="18"/>
          <w:szCs w:val="16"/>
          <w:lang w:val="en-GB"/>
        </w:rPr>
        <w:t>Gulab</w:t>
      </w:r>
      <w:proofErr w:type="spellEnd"/>
      <w:r>
        <w:rPr>
          <w:rFonts w:cstheme="majorBidi"/>
          <w:color w:val="000000" w:themeColor="text1"/>
          <w:sz w:val="18"/>
          <w:szCs w:val="16"/>
          <w:lang w:val="en-GB"/>
        </w:rPr>
        <w:t xml:space="preserve"> Devi Institute</w:t>
      </w:r>
      <w:bookmarkStart w:id="0" w:name="_GoBack"/>
      <w:bookmarkEnd w:id="0"/>
      <w:r w:rsidR="00E5762C" w:rsidRPr="00E5762C">
        <w:rPr>
          <w:rFonts w:cstheme="majorBidi"/>
          <w:color w:val="000000" w:themeColor="text1"/>
          <w:sz w:val="18"/>
          <w:szCs w:val="16"/>
          <w:lang w:val="en-GB"/>
        </w:rPr>
        <w:t>, Lahore</w:t>
      </w:r>
      <w:r w:rsidR="007C1877" w:rsidRPr="007C1877">
        <w:rPr>
          <w:rFonts w:cstheme="majorBidi"/>
          <w:color w:val="000000" w:themeColor="text1"/>
          <w:sz w:val="18"/>
          <w:szCs w:val="16"/>
        </w:rPr>
        <w:t>, Pakistan</w:t>
      </w:r>
    </w:p>
    <w:p w:rsidR="006461E1" w:rsidRPr="00E5762C" w:rsidRDefault="00ED10B5" w:rsidP="00E5762C">
      <w:pPr>
        <w:pStyle w:val="Body"/>
        <w:rPr>
          <w:rFonts w:cstheme="majorBidi"/>
          <w:b/>
          <w:bCs/>
          <w:color w:val="074F6A" w:themeColor="accent4" w:themeShade="80"/>
          <w:sz w:val="18"/>
          <w:szCs w:val="16"/>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proofErr w:type="spellStart"/>
      <w:r w:rsidR="00E5762C" w:rsidRPr="00E5762C">
        <w:rPr>
          <w:rFonts w:cstheme="majorBidi"/>
          <w:b/>
          <w:bCs/>
          <w:color w:val="074F6A" w:themeColor="accent4" w:themeShade="80"/>
          <w:sz w:val="18"/>
          <w:szCs w:val="16"/>
        </w:rPr>
        <w:t>Sheeza</w:t>
      </w:r>
      <w:proofErr w:type="spellEnd"/>
      <w:r w:rsidR="00E5762C">
        <w:rPr>
          <w:rFonts w:cstheme="majorBidi"/>
          <w:b/>
          <w:bCs/>
          <w:color w:val="074F6A" w:themeColor="accent4" w:themeShade="80"/>
          <w:sz w:val="18"/>
          <w:szCs w:val="16"/>
        </w:rPr>
        <w:t xml:space="preserve"> </w:t>
      </w:r>
      <w:r w:rsidR="00E5762C" w:rsidRPr="00E5762C">
        <w:rPr>
          <w:rFonts w:cstheme="majorBidi"/>
          <w:b/>
          <w:bCs/>
          <w:color w:val="074F6A" w:themeColor="accent4" w:themeShade="80"/>
          <w:sz w:val="18"/>
          <w:szCs w:val="16"/>
        </w:rPr>
        <w:t>Gull</w:t>
      </w:r>
      <w:r w:rsidR="007C1877" w:rsidRPr="007C1877">
        <w:rPr>
          <w:rFonts w:cstheme="majorBidi"/>
          <w:b/>
          <w:bCs/>
          <w:color w:val="074F6A" w:themeColor="accent4" w:themeShade="80"/>
          <w:sz w:val="18"/>
          <w:szCs w:val="16"/>
          <w:lang w:val="pt-BR"/>
        </w:rPr>
        <w:t xml:space="preserve">, </w:t>
      </w:r>
      <w:r w:rsidR="00E5762C" w:rsidRPr="00E5762C">
        <w:rPr>
          <w:rFonts w:cstheme="majorBidi"/>
          <w:b/>
          <w:bCs/>
          <w:color w:val="074F6A" w:themeColor="accent4" w:themeShade="80"/>
          <w:sz w:val="18"/>
          <w:szCs w:val="16"/>
          <w:lang w:val="en-GB"/>
        </w:rPr>
        <w:t>sheezagull15@gmail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January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31 March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HNT; Design: HNT; Data Collection: HNT; Analysis: HNT; Drafting: HNT</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5D7CCB">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Central Park Teaching Hospital Lahore</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08460E">
      <w:pPr>
        <w:pStyle w:val="Heading1"/>
      </w:pPr>
      <w:r w:rsidRPr="00BB7230">
        <w:t>Abstract</w:t>
      </w:r>
    </w:p>
    <w:p w:rsidR="0008460E" w:rsidRPr="0008460E" w:rsidRDefault="0008460E" w:rsidP="0008460E">
      <w:pPr>
        <w:pStyle w:val="Body"/>
      </w:pPr>
      <w:r w:rsidRPr="0008460E">
        <w:t xml:space="preserve">Background: Chronic obstructive pulmonary disease (COPD) is associated with persistent airflow limitation, systemic manifestations, and progressive reduction in exercise capacity, resulting in impaired functional performance and poor clinical outcomes. Exercise intolerance in COPD is multifactorial and influenced by pulmonary dysfunction, skeletal muscle impairment, pulmonary hemodynamic abnormalities, and psychosocial </w:t>
      </w:r>
      <w:proofErr w:type="spellStart"/>
      <w:r w:rsidRPr="0008460E">
        <w:t>factors.Objective</w:t>
      </w:r>
      <w:proofErr w:type="spellEnd"/>
      <w:r w:rsidRPr="0008460E">
        <w:t xml:space="preserve">: To determine the clinical, physiological, and psychosocial factors associated with exercise capacity and poor clinical outcomes among patients with chronic obstructive pulmonary </w:t>
      </w:r>
      <w:proofErr w:type="spellStart"/>
      <w:r w:rsidRPr="0008460E">
        <w:t>disease.Methods</w:t>
      </w:r>
      <w:proofErr w:type="spellEnd"/>
      <w:r w:rsidRPr="0008460E">
        <w:t xml:space="preserve">: A comparative observational study was conducted among 94 COPD patients at Central Park Teaching Hospital, Lahore, Pakistan. The sample included 47 participants in the intervention group and 47 in the control group. Baseline assessment included demographic characteristics, smoking status, body mass index, forced expiratory volume in one second (FEV1), GOLD stage, six-minute walk distance (6MWD), Borg </w:t>
      </w:r>
      <w:proofErr w:type="spellStart"/>
      <w:r w:rsidRPr="0008460E">
        <w:t>dyspnea</w:t>
      </w:r>
      <w:proofErr w:type="spellEnd"/>
      <w:r w:rsidRPr="0008460E">
        <w:t xml:space="preserve"> score, and relevant comorbidities. Clinical outcomes assessed during follow-up included change in 6MWD, </w:t>
      </w:r>
      <w:proofErr w:type="spellStart"/>
      <w:r w:rsidRPr="0008460E">
        <w:t>dyspnea</w:t>
      </w:r>
      <w:proofErr w:type="spellEnd"/>
      <w:r w:rsidRPr="0008460E">
        <w:t xml:space="preserve"> score, quality-of-life improvement, exercise intolerance, COPD exacerbation, hospitalization, and poor clinical outcome. Inferential analysis was performed using odds ratios with 95% confidence </w:t>
      </w:r>
      <w:proofErr w:type="spellStart"/>
      <w:r w:rsidRPr="0008460E">
        <w:t>intervals.Results</w:t>
      </w:r>
      <w:proofErr w:type="spellEnd"/>
      <w:r w:rsidRPr="0008460E">
        <w:t xml:space="preserve">: The mean age was 66.4 ± 8.7 years, and 86.2% of participants were male. Mean baseline 6MWD was 431.8 ± 121.6 meters, which improved to 461.7 ± 118.4 meters during follow-up. Baseline 6MWD ≤350 meters significantly predicted poor clinical outcome (OR 2.84, 95% CI 1.15–7.02, p=0.024). Reduced forced vital capacity (OR 2.37, 95% CI 1.01–5.57, p=0.047), quadriceps weakness (OR 3.18, 95% CI 1.29–7.86, p=0.012), pulmonary hypertension or abnormal pulmonary </w:t>
      </w:r>
      <w:proofErr w:type="spellStart"/>
      <w:r w:rsidRPr="0008460E">
        <w:t>hemodynamics</w:t>
      </w:r>
      <w:proofErr w:type="spellEnd"/>
      <w:r w:rsidRPr="0008460E">
        <w:t xml:space="preserve"> (OR 3.64, 95% CI 1.22–10.89, p=0.021), and low exercise self-efficacy (OR 2.52, 95% CI 1.01–6.31, p=0.048) were also significantly associated with adverse outcomes. Intervention participation demonstrated a protective effect (OR 0.46, 95% CI 0.19–0.98, p=0.041).Conclusion: Exercise capacity impairment in COPD is influenced by multidimensional physiological, muscular, hemodynamic, and psychosocial factors beyond </w:t>
      </w:r>
      <w:proofErr w:type="spellStart"/>
      <w:r w:rsidRPr="0008460E">
        <w:t>spirometric</w:t>
      </w:r>
      <w:proofErr w:type="spellEnd"/>
      <w:r w:rsidRPr="0008460E">
        <w:t xml:space="preserve"> airflow limitation alone. Comprehensive assessment and targeted rehabilitation strategies may improve functional outcomes and reduce adverse clinical events in COPD </w:t>
      </w:r>
      <w:proofErr w:type="spellStart"/>
      <w:r w:rsidRPr="0008460E">
        <w:t>patients.Keywords</w:t>
      </w:r>
      <w:proofErr w:type="spellEnd"/>
      <w:r w:rsidRPr="0008460E">
        <w:t xml:space="preserve">: chronic obstructive pulmonary disease, exercise capacity, six-minute walk distance, pulmonary rehabilitation, quadriceps weakness, pulmonary hypertension, </w:t>
      </w:r>
      <w:proofErr w:type="spellStart"/>
      <w:r w:rsidRPr="0008460E">
        <w:t>dyspnea</w:t>
      </w:r>
      <w:proofErr w:type="spellEnd"/>
      <w:r w:rsidRPr="0008460E">
        <w:t>, COPD outcomes</w:t>
      </w:r>
    </w:p>
    <w:p w:rsidR="0008460E" w:rsidRPr="0008460E" w:rsidRDefault="0008460E" w:rsidP="0008460E">
      <w:pPr>
        <w:pStyle w:val="Body"/>
      </w:pPr>
      <w:r w:rsidRPr="0008460E">
        <w:rPr>
          <w:rStyle w:val="Heading1Char"/>
        </w:rPr>
        <w:t>Introduction</w:t>
      </w:r>
      <w:r w:rsidRPr="0008460E">
        <w:rPr>
          <w:rStyle w:val="Heading1Char"/>
        </w:rPr>
        <w:br/>
      </w:r>
      <w:r w:rsidRPr="0008460E">
        <w:t xml:space="preserve">Chronic obstructive pulmonary disease (COPD) is a progressive respiratory condition associated not only with persistent airflow limitation but also with systemic consequences that substantially impair functional capacity, daily activity, and quality of life. Exercise limitation is one of the most clinically relevant manifestations of COPD because it reflects the combined burden of </w:t>
      </w:r>
      <w:proofErr w:type="spellStart"/>
      <w:r w:rsidRPr="0008460E">
        <w:t>ventilatory</w:t>
      </w:r>
      <w:proofErr w:type="spellEnd"/>
      <w:r w:rsidRPr="0008460E">
        <w:t xml:space="preserve"> restriction, dyspnea, pulmonary hyperinflation, impaired gas exchange, cardiovascular strain, skeletal muscle dysfunction, and reduced confidence in physical activity. Although </w:t>
      </w:r>
      <w:proofErr w:type="spellStart"/>
      <w:r w:rsidRPr="0008460E">
        <w:t>spirometric</w:t>
      </w:r>
      <w:proofErr w:type="spellEnd"/>
      <w:r w:rsidRPr="0008460E">
        <w:t xml:space="preserve"> indices such as forced expiratory volume in one second remain central to disease classification, functional exercise capacity often varies considerably among patients with similar airflow limitation, indicating that COPD severity alone does not fully explain exercise performance.</w:t>
      </w:r>
    </w:p>
    <w:p w:rsidR="0008460E" w:rsidRPr="0008460E" w:rsidRDefault="0008460E" w:rsidP="0008460E">
      <w:pPr>
        <w:pStyle w:val="Body"/>
      </w:pPr>
      <w:r w:rsidRPr="0008460E">
        <w:t xml:space="preserve">The six-minute walk distance has become a practical and clinically meaningful measure of functional capacity in COPD because it captures integrated cardiopulmonary and musculoskeletal performance during submaximal exertion. Reduced six-minute walk distance has been associated with greater dyspnea, poorer health-related quality of life, increased risk of adverse clinical outcomes, and reduced response to rehabilitation. In the present dataset, the mean baseline six-minute walk distance was 431.8 ± 121.6 meters, while 31 patients had a baseline </w:t>
      </w:r>
      <w:r w:rsidRPr="0008460E">
        <w:lastRenderedPageBreak/>
        <w:t>six-minute walk distance of ≤350 meters, indicating a clinically relevant subgroup with impaired functional capacity. Follow-up data showed improvement in mean six-minute walk distance to 461.7 ± 118.4 meters, with a mean change of 29.9 ± 58.6 meters and clinically meaningful improvement in 41 patients, supporting the importance of evaluating both baseline limitation and recovery patterns in COPD patients.</w:t>
      </w:r>
    </w:p>
    <w:p w:rsidR="0008460E" w:rsidRPr="0008460E" w:rsidRDefault="0008460E" w:rsidP="0008460E">
      <w:pPr>
        <w:pStyle w:val="Body"/>
      </w:pPr>
      <w:r w:rsidRPr="0008460E">
        <w:t>Several clinical and physiological factors may contribute to reduced exercise capacity in COPD. Severe airflow limitation, reduced forced vital capacity, hyperinflation, pulmonary hypertension, quadriceps weakness, and low exercise self-efficacy are particularly important because they influence exercise performance through distinct but overlapping mechanisms. In this study, poor clinical outcome was significantly associated with baseline six-minute walk distance ≤350 meters, reduced forced vital capacity, quadriceps weakness or reduced muscle endurance, pulmonary hypertension or abnormal pulmonary hemodynamics, and low exercise self-efficacy. Intervention group participation showed a protective association, suggesting that targeted rehabilitation or structured intervention may improve functional prognosis in selected patients.</w:t>
      </w:r>
    </w:p>
    <w:p w:rsidR="0008460E" w:rsidRPr="0008460E" w:rsidRDefault="0008460E" w:rsidP="0008460E">
      <w:pPr>
        <w:pStyle w:val="Body"/>
      </w:pPr>
      <w:r w:rsidRPr="0008460E">
        <w:t xml:space="preserve">Despite growing evidence on COPD-related exercise limitation, important gaps remain in understanding how pulmonary function, respiratory mechanics, comorbidities, peripheral muscle dysfunction, pulmonary hemodynamics, and psychosocial factors collectively predict poor functional outcomes. This gap is clinically important because patients with COPD frequently present with multiple interacting limitations, and reliance on </w:t>
      </w:r>
      <w:proofErr w:type="spellStart"/>
      <w:r w:rsidRPr="0008460E">
        <w:t>spirometry</w:t>
      </w:r>
      <w:proofErr w:type="spellEnd"/>
      <w:r w:rsidRPr="0008460E">
        <w:t xml:space="preserve"> alone may underestimate functional impairment. Therefore, identifying predictors of reduced exercise capacity can help clinicians stratify risk, personalize pulmonary rehabilitation, and prioritize patients requiring closer follow-up.</w:t>
      </w:r>
    </w:p>
    <w:p w:rsidR="0008460E" w:rsidRPr="0008460E" w:rsidRDefault="0008460E" w:rsidP="0008460E">
      <w:pPr>
        <w:pStyle w:val="Body"/>
      </w:pPr>
      <w:r w:rsidRPr="0008460E">
        <w:t>The objective of this study was to determine the clinical, physiological, and psychosocial factors associated with exercise capacity and poor clinical outcomes among patients with chronic obstructive pulmonary disease.</w:t>
      </w:r>
    </w:p>
    <w:p w:rsidR="0008460E" w:rsidRPr="0008460E" w:rsidRDefault="0008460E" w:rsidP="0008460E">
      <w:pPr>
        <w:pStyle w:val="Body"/>
      </w:pPr>
      <w:r w:rsidRPr="0008460E">
        <w:rPr>
          <w:rStyle w:val="Heading1Char"/>
        </w:rPr>
        <w:t>Materials and Methods</w:t>
      </w:r>
      <w:r w:rsidRPr="0008460E">
        <w:br/>
      </w:r>
      <w:proofErr w:type="gramStart"/>
      <w:r w:rsidRPr="0008460E">
        <w:t>This</w:t>
      </w:r>
      <w:proofErr w:type="gramEnd"/>
      <w:r w:rsidRPr="0008460E">
        <w:t xml:space="preserve"> study was designed as a comparative observational study conducted among patients diagnosed with chronic obstructive pulmonary disease at Central Park Teaching Hospital, Lahore, Pakistan. The study evaluated exercise capacity and clinical predictors of poor outcome using baseline demographic, pulmonary, functional, comorbidity, and follow-up outcome variables. The total analyzed sample included 94 patients, with 47 participants in the intervention group and 47 in the control group. Baseline assessment included age, sex, smoking status, body mass index, forced expiratory volume in one second percentage predicted, GOLD stage, baseline six-minute walk distance, Borg dyspnea score, and hemoglobin level. The mean age of participants was 66.4 ± 8.7 years, and most participants were male.</w:t>
      </w:r>
    </w:p>
    <w:p w:rsidR="0008460E" w:rsidRPr="0008460E" w:rsidRDefault="0008460E" w:rsidP="0008460E">
      <w:pPr>
        <w:pStyle w:val="Body"/>
      </w:pPr>
      <w:r w:rsidRPr="0008460E">
        <w:t xml:space="preserve">Eligible participants were adult patients with clinically diagnosed COPD who had available baseline pulmonary function assessment and functional exercise capacity measurement. Patients were categorized according to COPD severity using GOLD staging and </w:t>
      </w:r>
      <w:proofErr w:type="spellStart"/>
      <w:r w:rsidRPr="0008460E">
        <w:t>spirometric</w:t>
      </w:r>
      <w:proofErr w:type="spellEnd"/>
      <w:r w:rsidRPr="0008460E">
        <w:t xml:space="preserve"> parameters. Exercise capacity was assessed using the six-minute walk distance, recorded in meters, and reduced baseline exercise capacity was operationally defined as six-minute walk distance ≤350 meters. Dyspnea was assessed using the Borg dyspnea score. Clinical comorbidities and study variables included hypertension, diabetes mellitus, ischemic heart disease, obstructive sleep apnea, pulmonary hypertension or abnormal pulmonary hemodynamics, hyperinflation, reduced forced vital capacity, quadriceps weakness or reduced muscle endurance, low exercise self-efficacy, anxiety or depressive symptoms, and baseline exercise intolerance.</w:t>
      </w:r>
    </w:p>
    <w:p w:rsidR="0008460E" w:rsidRPr="0008460E" w:rsidRDefault="0008460E" w:rsidP="0008460E">
      <w:pPr>
        <w:pStyle w:val="Body"/>
      </w:pPr>
      <w:r w:rsidRPr="0008460E">
        <w:t>Participants were allocated into intervention and control groups, each comprising 47 patients. The intervention group was assessed for completion of the intervention protocol, while both groups were followed for clinical and functional outcomes. Follow-up assessment included six-minute walk distance, change in six-minute walk distance, clinically meaningful improvement defined as ≥30 meters, persistent six-minute walk distance ≤350 meters, Borg dyspnea score, change in Borg dyspnea score, improved quality-of-life score, exercise intolerance at follow-up, poor clinical outcome, COPD exacerbation, and hospitalization during follow-up. The primary outcome was poor clinical outcome, while secondary outcomes included change in exercise capacity, dyspnea improvement, quality-of-life improvement, exacerbation, and hospitalization.</w:t>
      </w:r>
    </w:p>
    <w:p w:rsidR="0008460E" w:rsidRPr="0008460E" w:rsidRDefault="0008460E" w:rsidP="0008460E">
      <w:pPr>
        <w:pStyle w:val="Body"/>
      </w:pPr>
      <w:r w:rsidRPr="0008460E">
        <w:t xml:space="preserve">Data were collected from Central Park Teaching Hospital using standardized clinical assessment forms, pulmonary function parameters, functional exercise testing, dyspnea scoring, and follow-up outcome documentation. Operational definitions were applied before analysis to ensure consistency across variables. Severe airflow limitation was defined as FEV1 &lt;50% predicted, reduced exercise capacity as baseline six-minute </w:t>
      </w:r>
      <w:r w:rsidRPr="0008460E">
        <w:lastRenderedPageBreak/>
        <w:t>walk distance ≤350 meters, and clinically meaningful improvement as an increase of ≥30 meters in six-minute walk distance. Poor clinical outcome was analyzed as a binary endpoint against baseline clinical, functional, pulmonary, muscular, hemodynamic, psychosocial, and intervention-related predictors.</w:t>
      </w:r>
    </w:p>
    <w:p w:rsidR="0008460E" w:rsidRPr="0008460E" w:rsidRDefault="0008460E" w:rsidP="0008460E">
      <w:pPr>
        <w:pStyle w:val="Body"/>
      </w:pPr>
      <w:r w:rsidRPr="0008460E">
        <w:t>Potential bias was minimized by using predefined clinical definitions, objective functional measurements, uniform outcome thresholds, and consistent follow-up variables. Confounding was addressed by evaluating major clinical predictors individually, including airflow limitation, reduced forced vital capacity, hyperinflation, quadriceps weakness, pulmonary hypertension or abnormal hemodynamics, low exercise self-efficacy, and intervention participation. Missing or incomplete observations were excluded from the relevant variable-specific analysis, and all reported analyses were based on available complete aggregate data.</w:t>
      </w:r>
    </w:p>
    <w:p w:rsidR="0008460E" w:rsidRPr="0008460E" w:rsidRDefault="0008460E" w:rsidP="0008460E">
      <w:pPr>
        <w:pStyle w:val="Body"/>
      </w:pPr>
      <w:r w:rsidRPr="0008460E">
        <w:t>Statistical analysis was performed using descriptive and inferential methods. Continuous variables were summarized as mean ± standard deviation, while categorical variables were reported as frequency and percentage. Associations between potential predictors and poor clinical outcome were evaluated using odds ratios with 95% confidence intervals and p-values. A p-value of &lt;0.05 was considered statistically significant. Predictors assessed included baseline six-minute walk distance ≤350 meters, FEV1 &lt;50% predicted, reduced forced vital capacity, hyperinflation, quadriceps weakness or reduced muscle endurance, pulmonary hypertension or abnormal pulmonary hemodynamics, low exercise self-efficacy, and intervention group participation. Intervention participation was interpreted as protective when the odds ratio was below 1.0.</w:t>
      </w:r>
    </w:p>
    <w:p w:rsidR="0008460E" w:rsidRPr="0008460E" w:rsidRDefault="0008460E" w:rsidP="0008460E">
      <w:pPr>
        <w:pStyle w:val="Body"/>
      </w:pPr>
      <w:r w:rsidRPr="0008460E">
        <w:t xml:space="preserve">Ethical conduct was maintained according to institutional research standards. Patient data were handled confidentially, and analysis was performed using </w:t>
      </w:r>
      <w:proofErr w:type="spellStart"/>
      <w:r w:rsidRPr="0008460E">
        <w:t>anonymized</w:t>
      </w:r>
      <w:proofErr w:type="spellEnd"/>
      <w:r w:rsidRPr="0008460E">
        <w:t xml:space="preserve"> clinical variables. Data integrity was supported through consistent variable coding, predefined outcome categories, and direct alignment between baseline characteristics, comorbidity variables, clinical outcomes, and inferential analysis.</w:t>
      </w:r>
    </w:p>
    <w:p w:rsidR="0008460E" w:rsidRPr="0008460E" w:rsidRDefault="0008460E" w:rsidP="0008460E">
      <w:pPr>
        <w:pStyle w:val="Body"/>
      </w:pPr>
      <w:r w:rsidRPr="0008460E">
        <w:rPr>
          <w:rStyle w:val="Heading1Char"/>
        </w:rPr>
        <w:t>Results</w:t>
      </w:r>
      <w:r w:rsidRPr="0008460E">
        <w:br/>
        <w:t xml:space="preserve">A total of 94 patients with chronic obstructive pulmonary disease were included in the analysis, comprising 47 participants in the intervention group and 47 in the control group. The mean age of the study population was 66.4 ± 8.7 years, and males constituted 86.2% of participants. Former smokers represented 55.3% of the cohort, while 30.9% were current smokers. The mean body mass index was 26.8 ± 4.9 kg/m². The mean forced expiratory volume in one second percentage predicted was 49.6 ± 13.9%, and 51.1% of patients demonstrated FEV1 &lt;50% predicted. According to GOLD staging, 17.0% of patients were classified as stage I, 30.9% as stage II, 35.1% as stage III, and 17.0% as stage IV. Baseline mean six-minute walk distance was 431.8 ± 121.6 meters, while 33.0% of participants had baseline six-minute walk distance ≤350 meters. The mean baseline Borg dyspnea score was 4.8 ± 1.6. </w:t>
      </w:r>
    </w:p>
    <w:p w:rsidR="0008460E" w:rsidRPr="0008460E" w:rsidRDefault="0008460E" w:rsidP="0008460E">
      <w:pPr>
        <w:pStyle w:val="Caption"/>
        <w:jc w:val="both"/>
      </w:pPr>
      <w:r w:rsidRPr="0008460E">
        <w:t>Table 1. Baseline Demographic and Clinical Characteristics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622"/>
        <w:gridCol w:w="453"/>
        <w:gridCol w:w="2643"/>
        <w:gridCol w:w="1309"/>
      </w:tblGrid>
      <w:tr w:rsidR="0008460E" w:rsidRPr="0008460E" w:rsidTr="0008460E">
        <w:trPr>
          <w:tblHeader/>
          <w:tblCellSpacing w:w="0" w:type="dxa"/>
        </w:trPr>
        <w:tc>
          <w:tcPr>
            <w:tcW w:w="2560"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Variable</w:t>
            </w:r>
          </w:p>
        </w:tc>
        <w:tc>
          <w:tcPr>
            <w:tcW w:w="251"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n</w:t>
            </w:r>
          </w:p>
        </w:tc>
        <w:tc>
          <w:tcPr>
            <w:tcW w:w="1464"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 / Mean ± SD</w:t>
            </w:r>
          </w:p>
        </w:tc>
        <w:tc>
          <w:tcPr>
            <w:tcW w:w="725"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p-value</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Total sample</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100.0%</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Intervention group</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47</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50.0%</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Control group</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47</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50.0%</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Age, years</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66.4 ± 8.7</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0.412</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Male sex</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81</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86.2%</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0.368</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Current smoker</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29</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30.9%</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0.287</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Former smoker</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52</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55.3%</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0.314</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BMI, kg/m²</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26.8 ± 4.9</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0.451</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FEV1, % predicted</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49.6 ± 13.9</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0.061</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FEV1 &lt;50% predicted</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48</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51.1%</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0.068</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GOLD stage I</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16</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17.0%</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0.273</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GOLD stage II</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29</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30.9%</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0.227</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GOLD stage III</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33</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35.1%</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0.083</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GOLD stage IV</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16</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17.0%</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0.091</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Baseline 6MWD, meters</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431.8 ± 121.6</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0.029</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Baseline 6MWD ≤350 m</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31</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33.0%</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0.024</w:t>
            </w:r>
          </w:p>
        </w:tc>
      </w:tr>
      <w:tr w:rsidR="0008460E" w:rsidRPr="0008460E" w:rsidTr="0008460E">
        <w:trPr>
          <w:tblCellSpacing w:w="0" w:type="dxa"/>
        </w:trPr>
        <w:tc>
          <w:tcPr>
            <w:tcW w:w="2560"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Baseline Borg dyspnea score</w:t>
            </w:r>
          </w:p>
        </w:tc>
        <w:tc>
          <w:tcPr>
            <w:tcW w:w="25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46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4.8 ± 1.6</w:t>
            </w:r>
          </w:p>
        </w:tc>
        <w:tc>
          <w:tcPr>
            <w:tcW w:w="72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0.038</w:t>
            </w:r>
          </w:p>
        </w:tc>
      </w:tr>
      <w:tr w:rsidR="0008460E" w:rsidRPr="0008460E" w:rsidTr="0008460E">
        <w:trPr>
          <w:tblCellSpacing w:w="0" w:type="dxa"/>
        </w:trPr>
        <w:tc>
          <w:tcPr>
            <w:tcW w:w="2560" w:type="pct"/>
            <w:tcBorders>
              <w:bottom w:val="single" w:sz="4" w:space="0" w:color="auto"/>
            </w:tcBorders>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Hemoglobin, g/</w:t>
            </w:r>
            <w:proofErr w:type="spellStart"/>
            <w:r w:rsidRPr="0008460E">
              <w:rPr>
                <w:b/>
                <w:color w:val="000000"/>
                <w:sz w:val="16"/>
              </w:rPr>
              <w:t>dL</w:t>
            </w:r>
            <w:proofErr w:type="spellEnd"/>
          </w:p>
        </w:tc>
        <w:tc>
          <w:tcPr>
            <w:tcW w:w="251"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464"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13.4 ± 1.5</w:t>
            </w:r>
          </w:p>
        </w:tc>
        <w:tc>
          <w:tcPr>
            <w:tcW w:w="725"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0.344</w:t>
            </w:r>
          </w:p>
        </w:tc>
      </w:tr>
    </w:tbl>
    <w:p w:rsidR="0008460E" w:rsidRPr="0008460E" w:rsidRDefault="0008460E" w:rsidP="0008460E">
      <w:pPr>
        <w:pStyle w:val="Body"/>
      </w:pPr>
      <w:r w:rsidRPr="0008460E">
        <w:t xml:space="preserve">Clinical comorbidities and physiological variables demonstrated substantial burden among COPD patients. Hypertension was present in 44.7% of participants, while diabetes mellitus and ischemic heart disease were identified in 24.5% and 19.1% of patients, respectively. Pulmonary hypertension or abnormal pulmonary hemodynamics were observed in 18.1% of cases. Hyperinflation was documented in 42.6% of participants, and </w:t>
      </w:r>
      <w:r w:rsidRPr="0008460E">
        <w:lastRenderedPageBreak/>
        <w:t xml:space="preserve">reduced forced vital capacity was observed in 38.3%. Peripheral muscle dysfunction, represented by quadriceps weakness or reduced muscle endurance, affected 36.2% of patients. Low exercise self-efficacy and anxiety or depressive symptoms were present in 29.8% and 31.9% of patients, respectively. </w:t>
      </w:r>
    </w:p>
    <w:p w:rsidR="0008460E" w:rsidRPr="0008460E" w:rsidRDefault="0008460E" w:rsidP="0008460E">
      <w:pPr>
        <w:pStyle w:val="Caption"/>
        <w:jc w:val="both"/>
      </w:pPr>
      <w:r w:rsidRPr="0008460E">
        <w:t>Table 2. Clinical Comorbidities and Study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034"/>
        <w:gridCol w:w="318"/>
        <w:gridCol w:w="756"/>
        <w:gridCol w:w="919"/>
      </w:tblGrid>
      <w:tr w:rsidR="0008460E" w:rsidRPr="0008460E" w:rsidTr="0008460E">
        <w:trPr>
          <w:tblHeader/>
          <w:tblCellSpacing w:w="0" w:type="dxa"/>
        </w:trPr>
        <w:tc>
          <w:tcPr>
            <w:tcW w:w="3895"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Variable</w:t>
            </w:r>
          </w:p>
        </w:tc>
        <w:tc>
          <w:tcPr>
            <w:tcW w:w="176"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n</w:t>
            </w:r>
          </w:p>
        </w:tc>
        <w:tc>
          <w:tcPr>
            <w:tcW w:w="419"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w:t>
            </w:r>
          </w:p>
        </w:tc>
        <w:tc>
          <w:tcPr>
            <w:tcW w:w="509"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p-value</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Hypertension</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42</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44.7%</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0.118</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Diabetes mellitus</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23</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24.5%</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0.203</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Ischemic heart disease</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18</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19.1%</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0.149</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Obstructive sleep apnea</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20</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21.3%</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0.087</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Pulmonary hypertension / abnormal pulmonary hemodynamics</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17</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18.1%</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0.021</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Hyperinflation</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40</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42.6%</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0.090</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Reduced FVC</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36</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38.3%</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0.047</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Quadriceps weakness / reduced muscle endurance</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34</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36.2%</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0.012</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Low self-efficacy for exercise</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28</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29.8%</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0.048</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Anxiety or depressive symptoms</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30</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31.9%</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0.073</w:t>
            </w:r>
          </w:p>
        </w:tc>
      </w:tr>
      <w:tr w:rsidR="0008460E" w:rsidRPr="0008460E" w:rsidTr="0008460E">
        <w:trPr>
          <w:tblCellSpacing w:w="0" w:type="dxa"/>
        </w:trPr>
        <w:tc>
          <w:tcPr>
            <w:tcW w:w="389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Baseline exercise intolerance</w:t>
            </w:r>
          </w:p>
        </w:tc>
        <w:tc>
          <w:tcPr>
            <w:tcW w:w="17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30</w:t>
            </w:r>
          </w:p>
        </w:tc>
        <w:tc>
          <w:tcPr>
            <w:tcW w:w="41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31.9%</w:t>
            </w:r>
          </w:p>
        </w:tc>
        <w:tc>
          <w:tcPr>
            <w:tcW w:w="5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0.041</w:t>
            </w:r>
          </w:p>
        </w:tc>
      </w:tr>
      <w:tr w:rsidR="0008460E" w:rsidRPr="0008460E" w:rsidTr="0008460E">
        <w:trPr>
          <w:tblCellSpacing w:w="0" w:type="dxa"/>
        </w:trPr>
        <w:tc>
          <w:tcPr>
            <w:tcW w:w="3895" w:type="pct"/>
            <w:tcBorders>
              <w:bottom w:val="single" w:sz="4" w:space="0" w:color="auto"/>
            </w:tcBorders>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Completed intervention protocol</w:t>
            </w:r>
          </w:p>
        </w:tc>
        <w:tc>
          <w:tcPr>
            <w:tcW w:w="176"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43</w:t>
            </w:r>
          </w:p>
        </w:tc>
        <w:tc>
          <w:tcPr>
            <w:tcW w:w="419"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45.7%</w:t>
            </w:r>
          </w:p>
        </w:tc>
        <w:tc>
          <w:tcPr>
            <w:tcW w:w="509"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0.041</w:t>
            </w:r>
          </w:p>
        </w:tc>
      </w:tr>
    </w:tbl>
    <w:p w:rsidR="0008460E" w:rsidRPr="0008460E" w:rsidRDefault="0008460E" w:rsidP="0008460E">
      <w:pPr>
        <w:pStyle w:val="Body"/>
      </w:pPr>
      <w:r w:rsidRPr="0008460E">
        <w:t xml:space="preserve">Follow-up analysis demonstrated improvement in exercise capacity and dyspnea outcomes. Mean six-minute walk distance increased from 431.8 ± 121.6 meters at baseline to 461.7 ± 118.4 meters during follow-up, with a mean improvement of 29.9 ± 58.6 meters. Clinically meaningful improvement of ≥30 meters was achieved in 43.6% of patients. Persistent six-minute walk distance ≤350 meters remained in 25.5% of participants. The mean Borg dyspnea score improved from 4.8 ± 1.6 to 4.1 ± 1.5, corresponding to a mean reduction of 0.7 ± 1.2 points. Improved quality-of-life score was reported in 41.5% of participants, whereas exercise intolerance persisted in 26.6% of patients. Poor clinical outcome occurred in 30.9% of cases, while COPD exacerbation and hospitalization during follow-up were observed in 14.9% and 7.4% of patients, respectively. </w:t>
      </w:r>
    </w:p>
    <w:p w:rsidR="0008460E" w:rsidRPr="0008460E" w:rsidRDefault="0008460E" w:rsidP="0008460E">
      <w:pPr>
        <w:pStyle w:val="Caption"/>
        <w:jc w:val="both"/>
      </w:pPr>
      <w:r w:rsidRPr="0008460E">
        <w:t>Table 3. Clinical Outcomes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855"/>
        <w:gridCol w:w="327"/>
        <w:gridCol w:w="1903"/>
        <w:gridCol w:w="942"/>
      </w:tblGrid>
      <w:tr w:rsidR="0008460E" w:rsidRPr="0008460E" w:rsidTr="0008460E">
        <w:trPr>
          <w:tblHeader/>
          <w:tblCellSpacing w:w="0" w:type="dxa"/>
        </w:trPr>
        <w:tc>
          <w:tcPr>
            <w:tcW w:w="3243"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Outcome</w:t>
            </w:r>
          </w:p>
        </w:tc>
        <w:tc>
          <w:tcPr>
            <w:tcW w:w="181"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n</w:t>
            </w:r>
          </w:p>
        </w:tc>
        <w:tc>
          <w:tcPr>
            <w:tcW w:w="1054"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 / Mean ± SD</w:t>
            </w:r>
          </w:p>
        </w:tc>
        <w:tc>
          <w:tcPr>
            <w:tcW w:w="522"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p-value</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Follow-up 6MWD, meters</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461.7 ± 118.4</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0.018</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Mean change in 6MWD, meters</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29.9 ± 58.6</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0.022</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Clinically meaningful 6MWD improvement ≥30 m</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41</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43.6%</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0.031</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Persistent 6MWD ≤350 m at follow-up</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24</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25.5%</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0.027</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Follow-up Borg dyspnea score</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4.1 ± 1.5</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0.035</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Mean change in Borg dyspnea score</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94</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-0.7 ± 1.2</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0.029</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Improved quality-of-life score</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39</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41.5%</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0.033</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Exercise intolerance at follow-up</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25</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26.6%</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0.041</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Poor clinical outcome</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29</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30.9%</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w:t>
            </w:r>
          </w:p>
        </w:tc>
      </w:tr>
      <w:tr w:rsidR="0008460E" w:rsidRPr="0008460E" w:rsidTr="0008460E">
        <w:trPr>
          <w:tblCellSpacing w:w="0" w:type="dxa"/>
        </w:trPr>
        <w:tc>
          <w:tcPr>
            <w:tcW w:w="3243"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COPD exacerbation during follow-up</w:t>
            </w:r>
          </w:p>
        </w:tc>
        <w:tc>
          <w:tcPr>
            <w:tcW w:w="181"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14</w:t>
            </w:r>
          </w:p>
        </w:tc>
        <w:tc>
          <w:tcPr>
            <w:tcW w:w="1054"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14.9%</w:t>
            </w:r>
          </w:p>
        </w:tc>
        <w:tc>
          <w:tcPr>
            <w:tcW w:w="522"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0.044</w:t>
            </w:r>
          </w:p>
        </w:tc>
      </w:tr>
      <w:tr w:rsidR="0008460E" w:rsidRPr="0008460E" w:rsidTr="0008460E">
        <w:trPr>
          <w:tblCellSpacing w:w="0" w:type="dxa"/>
        </w:trPr>
        <w:tc>
          <w:tcPr>
            <w:tcW w:w="3243" w:type="pct"/>
            <w:tcBorders>
              <w:bottom w:val="single" w:sz="4" w:space="0" w:color="auto"/>
            </w:tcBorders>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Hospitalization during follow-up</w:t>
            </w:r>
          </w:p>
        </w:tc>
        <w:tc>
          <w:tcPr>
            <w:tcW w:w="181"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7</w:t>
            </w:r>
          </w:p>
        </w:tc>
        <w:tc>
          <w:tcPr>
            <w:tcW w:w="1054"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7.4%</w:t>
            </w:r>
          </w:p>
        </w:tc>
        <w:tc>
          <w:tcPr>
            <w:tcW w:w="522"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0.038</w:t>
            </w:r>
          </w:p>
        </w:tc>
      </w:tr>
    </w:tbl>
    <w:p w:rsidR="0008460E" w:rsidRPr="0008460E" w:rsidRDefault="0008460E" w:rsidP="0008460E">
      <w:pPr>
        <w:pStyle w:val="Body"/>
      </w:pPr>
      <w:r w:rsidRPr="0008460E">
        <w:t xml:space="preserve">Inferential analysis identified several significant predictors of poor clinical outcome. Baseline six-minute walk distance ≤350 meters was associated with increased odds of poor outcome (OR 2.84, 95% CI 1.15–7.02, p=0.024). Reduced forced vital capacity also predicted poor outcome (OR 2.37, 95% CI 1.01–5.57, p=0.047). Peripheral muscle dysfunction demonstrated a strong independent association with poor clinical outcome (OR 3.18, 95% CI 1.29–7.86, p=0.012). Pulmonary hypertension or abnormal pulmonary hemodynamics increased the likelihood of poor outcome by more than threefold (OR 3.64, 95% CI 1.22–10.89, p=0.021). Low exercise self-efficacy was also significantly associated with adverse outcome (OR 2.52, 95% CI 1.01–6.31, p=0.048). Participation in the intervention group showed a protective effect against poor clinical outcome (OR 0.46, 95% CI 0.19–0.98, p=0.041). Severe airflow limitation and hyperinflation demonstrated borderline and non-significant adverse trends, respectively. </w:t>
      </w:r>
    </w:p>
    <w:p w:rsidR="0008460E" w:rsidRPr="0008460E" w:rsidRDefault="0008460E" w:rsidP="0008460E">
      <w:pPr>
        <w:pStyle w:val="Caption"/>
        <w:jc w:val="both"/>
      </w:pPr>
      <w:r w:rsidRPr="0008460E">
        <w:t>Table 4. Inferential Analysis: Predictors of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916"/>
        <w:gridCol w:w="229"/>
        <w:gridCol w:w="1092"/>
        <w:gridCol w:w="738"/>
        <w:gridCol w:w="589"/>
        <w:gridCol w:w="3463"/>
      </w:tblGrid>
      <w:tr w:rsidR="0008460E" w:rsidRPr="0008460E" w:rsidTr="0008460E">
        <w:trPr>
          <w:tblHeader/>
          <w:tblCellSpacing w:w="0" w:type="dxa"/>
        </w:trPr>
        <w:tc>
          <w:tcPr>
            <w:tcW w:w="1615"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Predictor</w:t>
            </w:r>
          </w:p>
        </w:tc>
        <w:tc>
          <w:tcPr>
            <w:tcW w:w="127"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n</w:t>
            </w:r>
          </w:p>
        </w:tc>
        <w:tc>
          <w:tcPr>
            <w:tcW w:w="605"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Effect Measure</w:t>
            </w:r>
          </w:p>
        </w:tc>
        <w:tc>
          <w:tcPr>
            <w:tcW w:w="409"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95% CI</w:t>
            </w:r>
          </w:p>
        </w:tc>
        <w:tc>
          <w:tcPr>
            <w:tcW w:w="326"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p-value</w:t>
            </w:r>
          </w:p>
        </w:tc>
        <w:tc>
          <w:tcPr>
            <w:tcW w:w="1918" w:type="pct"/>
            <w:tcBorders>
              <w:top w:val="single" w:sz="4" w:space="0" w:color="auto"/>
              <w:bottom w:val="single" w:sz="4" w:space="0" w:color="000000"/>
            </w:tcBorders>
            <w:shd w:val="clear" w:color="auto" w:fill="auto"/>
            <w:hideMark/>
          </w:tcPr>
          <w:p w:rsidR="0008460E" w:rsidRPr="0008460E" w:rsidRDefault="0008460E" w:rsidP="0008460E">
            <w:pPr>
              <w:pStyle w:val="Body"/>
              <w:spacing w:after="0" w:line="240" w:lineRule="auto"/>
              <w:rPr>
                <w:b/>
                <w:bCs/>
                <w:color w:val="000000"/>
                <w:sz w:val="16"/>
              </w:rPr>
            </w:pPr>
            <w:r w:rsidRPr="0008460E">
              <w:rPr>
                <w:b/>
                <w:bCs/>
                <w:color w:val="000000"/>
                <w:sz w:val="16"/>
              </w:rPr>
              <w:t>Interpretation</w:t>
            </w:r>
          </w:p>
        </w:tc>
      </w:tr>
      <w:tr w:rsidR="0008460E" w:rsidRPr="0008460E" w:rsidTr="0008460E">
        <w:trPr>
          <w:tblCellSpacing w:w="0" w:type="dxa"/>
        </w:trPr>
        <w:tc>
          <w:tcPr>
            <w:tcW w:w="161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Baseline 6MWD ≤350 m</w:t>
            </w:r>
          </w:p>
        </w:tc>
        <w:tc>
          <w:tcPr>
            <w:tcW w:w="127"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31</w:t>
            </w:r>
          </w:p>
        </w:tc>
        <w:tc>
          <w:tcPr>
            <w:tcW w:w="60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2.84</w:t>
            </w:r>
          </w:p>
        </w:tc>
        <w:tc>
          <w:tcPr>
            <w:tcW w:w="4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1.15–7.02</w:t>
            </w:r>
          </w:p>
        </w:tc>
        <w:tc>
          <w:tcPr>
            <w:tcW w:w="32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0.024</w:t>
            </w:r>
          </w:p>
        </w:tc>
        <w:tc>
          <w:tcPr>
            <w:tcW w:w="1918"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Lower baseline exercise capacity associated with poor outcome</w:t>
            </w:r>
          </w:p>
        </w:tc>
      </w:tr>
      <w:tr w:rsidR="0008460E" w:rsidRPr="0008460E" w:rsidTr="0008460E">
        <w:trPr>
          <w:tblCellSpacing w:w="0" w:type="dxa"/>
        </w:trPr>
        <w:tc>
          <w:tcPr>
            <w:tcW w:w="161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FEV1 &lt;50% predicted</w:t>
            </w:r>
          </w:p>
        </w:tc>
        <w:tc>
          <w:tcPr>
            <w:tcW w:w="127"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48</w:t>
            </w:r>
          </w:p>
        </w:tc>
        <w:tc>
          <w:tcPr>
            <w:tcW w:w="60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2.21</w:t>
            </w:r>
          </w:p>
        </w:tc>
        <w:tc>
          <w:tcPr>
            <w:tcW w:w="4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0.94–5.19</w:t>
            </w:r>
          </w:p>
        </w:tc>
        <w:tc>
          <w:tcPr>
            <w:tcW w:w="32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0.068</w:t>
            </w:r>
          </w:p>
        </w:tc>
        <w:tc>
          <w:tcPr>
            <w:tcW w:w="1918"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Borderline association with severe airflow limitation</w:t>
            </w:r>
          </w:p>
        </w:tc>
      </w:tr>
      <w:tr w:rsidR="0008460E" w:rsidRPr="0008460E" w:rsidTr="0008460E">
        <w:trPr>
          <w:tblCellSpacing w:w="0" w:type="dxa"/>
        </w:trPr>
        <w:tc>
          <w:tcPr>
            <w:tcW w:w="161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Reduced FVC</w:t>
            </w:r>
          </w:p>
        </w:tc>
        <w:tc>
          <w:tcPr>
            <w:tcW w:w="127"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36</w:t>
            </w:r>
          </w:p>
        </w:tc>
        <w:tc>
          <w:tcPr>
            <w:tcW w:w="60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2.37</w:t>
            </w:r>
          </w:p>
        </w:tc>
        <w:tc>
          <w:tcPr>
            <w:tcW w:w="4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1.01–5.57</w:t>
            </w:r>
          </w:p>
        </w:tc>
        <w:tc>
          <w:tcPr>
            <w:tcW w:w="32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0.047</w:t>
            </w:r>
          </w:p>
        </w:tc>
        <w:tc>
          <w:tcPr>
            <w:tcW w:w="1918"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Reduced FVC predicted poor clinical outcome</w:t>
            </w:r>
          </w:p>
        </w:tc>
      </w:tr>
      <w:tr w:rsidR="0008460E" w:rsidRPr="0008460E" w:rsidTr="0008460E">
        <w:trPr>
          <w:tblCellSpacing w:w="0" w:type="dxa"/>
        </w:trPr>
        <w:tc>
          <w:tcPr>
            <w:tcW w:w="161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Hyperinflation</w:t>
            </w:r>
          </w:p>
        </w:tc>
        <w:tc>
          <w:tcPr>
            <w:tcW w:w="127"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40</w:t>
            </w:r>
          </w:p>
        </w:tc>
        <w:tc>
          <w:tcPr>
            <w:tcW w:w="60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2.09</w:t>
            </w:r>
          </w:p>
        </w:tc>
        <w:tc>
          <w:tcPr>
            <w:tcW w:w="4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0.89–4.91</w:t>
            </w:r>
          </w:p>
        </w:tc>
        <w:tc>
          <w:tcPr>
            <w:tcW w:w="32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0.090</w:t>
            </w:r>
          </w:p>
        </w:tc>
        <w:tc>
          <w:tcPr>
            <w:tcW w:w="1918"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Non-significant adverse trend</w:t>
            </w:r>
          </w:p>
        </w:tc>
      </w:tr>
      <w:tr w:rsidR="0008460E" w:rsidRPr="0008460E" w:rsidTr="0008460E">
        <w:trPr>
          <w:tblCellSpacing w:w="0" w:type="dxa"/>
        </w:trPr>
        <w:tc>
          <w:tcPr>
            <w:tcW w:w="161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Quadriceps weakness / reduced muscle endurance</w:t>
            </w:r>
          </w:p>
        </w:tc>
        <w:tc>
          <w:tcPr>
            <w:tcW w:w="127"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34</w:t>
            </w:r>
          </w:p>
        </w:tc>
        <w:tc>
          <w:tcPr>
            <w:tcW w:w="60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3.18</w:t>
            </w:r>
          </w:p>
        </w:tc>
        <w:tc>
          <w:tcPr>
            <w:tcW w:w="4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1.29–7.86</w:t>
            </w:r>
          </w:p>
        </w:tc>
        <w:tc>
          <w:tcPr>
            <w:tcW w:w="32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0.012</w:t>
            </w:r>
          </w:p>
        </w:tc>
        <w:tc>
          <w:tcPr>
            <w:tcW w:w="1918"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Independent predictor of poor outcome</w:t>
            </w:r>
          </w:p>
        </w:tc>
      </w:tr>
      <w:tr w:rsidR="0008460E" w:rsidRPr="0008460E" w:rsidTr="0008460E">
        <w:trPr>
          <w:tblCellSpacing w:w="0" w:type="dxa"/>
        </w:trPr>
        <w:tc>
          <w:tcPr>
            <w:tcW w:w="161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Pulmonary hypertension / abnormal hemodynamics</w:t>
            </w:r>
          </w:p>
        </w:tc>
        <w:tc>
          <w:tcPr>
            <w:tcW w:w="127"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17</w:t>
            </w:r>
          </w:p>
        </w:tc>
        <w:tc>
          <w:tcPr>
            <w:tcW w:w="60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3.64</w:t>
            </w:r>
          </w:p>
        </w:tc>
        <w:tc>
          <w:tcPr>
            <w:tcW w:w="4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1.22–10.89</w:t>
            </w:r>
          </w:p>
        </w:tc>
        <w:tc>
          <w:tcPr>
            <w:tcW w:w="32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0.021</w:t>
            </w:r>
          </w:p>
        </w:tc>
        <w:tc>
          <w:tcPr>
            <w:tcW w:w="1918"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Increased poor-outcome odds</w:t>
            </w:r>
          </w:p>
        </w:tc>
      </w:tr>
      <w:tr w:rsidR="0008460E" w:rsidRPr="0008460E" w:rsidTr="0008460E">
        <w:trPr>
          <w:tblCellSpacing w:w="0" w:type="dxa"/>
        </w:trPr>
        <w:tc>
          <w:tcPr>
            <w:tcW w:w="1615" w:type="pct"/>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lastRenderedPageBreak/>
              <w:t>Low exercise self-efficacy</w:t>
            </w:r>
          </w:p>
        </w:tc>
        <w:tc>
          <w:tcPr>
            <w:tcW w:w="127"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28</w:t>
            </w:r>
          </w:p>
        </w:tc>
        <w:tc>
          <w:tcPr>
            <w:tcW w:w="605"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2.52</w:t>
            </w:r>
          </w:p>
        </w:tc>
        <w:tc>
          <w:tcPr>
            <w:tcW w:w="409"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1.01–6.31</w:t>
            </w:r>
          </w:p>
        </w:tc>
        <w:tc>
          <w:tcPr>
            <w:tcW w:w="326"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0.048</w:t>
            </w:r>
          </w:p>
        </w:tc>
        <w:tc>
          <w:tcPr>
            <w:tcW w:w="1918" w:type="pct"/>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Associated with poorer recovery</w:t>
            </w:r>
          </w:p>
        </w:tc>
      </w:tr>
      <w:tr w:rsidR="0008460E" w:rsidRPr="0008460E" w:rsidTr="0008460E">
        <w:trPr>
          <w:tblCellSpacing w:w="0" w:type="dxa"/>
        </w:trPr>
        <w:tc>
          <w:tcPr>
            <w:tcW w:w="1615" w:type="pct"/>
            <w:tcBorders>
              <w:bottom w:val="single" w:sz="4" w:space="0" w:color="auto"/>
            </w:tcBorders>
            <w:shd w:val="clear" w:color="auto" w:fill="auto"/>
            <w:hideMark/>
          </w:tcPr>
          <w:p w:rsidR="0008460E" w:rsidRPr="0008460E" w:rsidRDefault="0008460E" w:rsidP="0008460E">
            <w:pPr>
              <w:pStyle w:val="Body"/>
              <w:spacing w:after="0" w:line="240" w:lineRule="auto"/>
              <w:rPr>
                <w:b/>
                <w:color w:val="000000"/>
                <w:sz w:val="16"/>
              </w:rPr>
            </w:pPr>
            <w:r w:rsidRPr="0008460E">
              <w:rPr>
                <w:b/>
                <w:color w:val="000000"/>
                <w:sz w:val="16"/>
              </w:rPr>
              <w:t>Intervention group participation</w:t>
            </w:r>
          </w:p>
        </w:tc>
        <w:tc>
          <w:tcPr>
            <w:tcW w:w="127"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47</w:t>
            </w:r>
          </w:p>
        </w:tc>
        <w:tc>
          <w:tcPr>
            <w:tcW w:w="605"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OR 0.46</w:t>
            </w:r>
          </w:p>
        </w:tc>
        <w:tc>
          <w:tcPr>
            <w:tcW w:w="409"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0.19–0.98</w:t>
            </w:r>
          </w:p>
        </w:tc>
        <w:tc>
          <w:tcPr>
            <w:tcW w:w="326"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0.041</w:t>
            </w:r>
          </w:p>
        </w:tc>
        <w:tc>
          <w:tcPr>
            <w:tcW w:w="1918" w:type="pct"/>
            <w:tcBorders>
              <w:bottom w:val="single" w:sz="4" w:space="0" w:color="auto"/>
            </w:tcBorders>
            <w:shd w:val="clear" w:color="auto" w:fill="auto"/>
            <w:hideMark/>
          </w:tcPr>
          <w:p w:rsidR="0008460E" w:rsidRPr="0008460E" w:rsidRDefault="0008460E" w:rsidP="0008460E">
            <w:pPr>
              <w:pStyle w:val="Body"/>
              <w:spacing w:after="0" w:line="240" w:lineRule="auto"/>
              <w:rPr>
                <w:color w:val="000000"/>
                <w:sz w:val="16"/>
              </w:rPr>
            </w:pPr>
            <w:r w:rsidRPr="0008460E">
              <w:rPr>
                <w:color w:val="000000"/>
                <w:sz w:val="16"/>
              </w:rPr>
              <w:t>Protective association against poor outcome</w:t>
            </w:r>
          </w:p>
        </w:tc>
      </w:tr>
    </w:tbl>
    <w:p w:rsidR="0008460E" w:rsidRPr="0008460E" w:rsidRDefault="0008460E" w:rsidP="0008460E">
      <w:pPr>
        <w:pStyle w:val="Body"/>
      </w:pPr>
      <w:r w:rsidRPr="0008460E">
        <w:t xml:space="preserve">The baseline demographic and clinical characteristics demonstrated that the study population primarily consisted of older male patients with moderate-to-severe chronic obstructive pulmonary disease. The mean age was 66.4 ± 8.7 years, and males accounted for 86.2% of the cohort. Smoking exposure remained highly prevalent, with 30.9% identified as current smokers and 55.3% as former smokers. The mean body mass index was 26.8 ± 4.9 kg/m², indicating that most participants were within the overweight range rather than underweight cachectic phenotypes commonly associated with advanced COPD. Pulmonary impairment was substantial, with a mean FEV1 of 49.6 ± 13.9% predicted, while 51.1% of patients exhibited severe airflow limitation defined as FEV1 &lt;50% predicted. GOLD stage III disease represented the largest subgroup at 35.1%, followed by GOLD stage II at 30.9%, suggesting predominance of moderate-to-severe COPD severity. Functional limitation was also clinically important, as the mean baseline six-minute walk distance was 431.8 ± 121.6 meters and one-third of </w:t>
      </w:r>
      <w:proofErr w:type="gramStart"/>
      <w:r w:rsidRPr="0008460E">
        <w:t>patients</w:t>
      </w:r>
      <w:proofErr w:type="gramEnd"/>
      <w:r w:rsidRPr="0008460E">
        <w:t xml:space="preserve"> demonstrated markedly impaired exercise capacity with baseline six-minute walk distance ≤350 meters. Baseline Borg dyspnea score averaged 4.8 ± 1.6, indicating moderate </w:t>
      </w:r>
      <w:proofErr w:type="spellStart"/>
      <w:r w:rsidRPr="0008460E">
        <w:t>exertional</w:t>
      </w:r>
      <w:proofErr w:type="spellEnd"/>
      <w:r w:rsidRPr="0008460E">
        <w:t xml:space="preserve"> dyspnea among participants. </w:t>
      </w:r>
    </w:p>
    <w:p w:rsidR="0008460E" w:rsidRPr="0008460E" w:rsidRDefault="0008460E" w:rsidP="0008460E">
      <w:pPr>
        <w:pStyle w:val="Body"/>
      </w:pPr>
      <w:r w:rsidRPr="0008460E">
        <w:t xml:space="preserve">Comorbidity analysis revealed that cardiovascular, pulmonary, muscular, and psychosocial burdens were common within the study cohort. Hypertension was the most frequent comorbidity, affecting 44.7% of patients, followed by diabetes mellitus in 24.5% and ischemic heart disease in 19.1%. Obstructive sleep apnea was identified in 21.3% of participants, further emphasizing the multidimensional respiratory burden among COPD patients. Pulmonary hypertension or abnormal pulmonary hemodynamics were present in 18.1% of cases and showed significant association with poor clinical outcome. Hyperinflation affected 42.6% of participants, while reduced forced vital capacity was observed in 38.3%, suggesting that restrictive </w:t>
      </w:r>
      <w:proofErr w:type="spellStart"/>
      <w:r w:rsidRPr="0008460E">
        <w:t>ventilatory</w:t>
      </w:r>
      <w:proofErr w:type="spellEnd"/>
      <w:r w:rsidRPr="0008460E">
        <w:t xml:space="preserve"> compromise and altered lung mechanics contributed substantially to functional impairment. Peripheral skeletal muscle dysfunction was also highly prevalent, with quadriceps weakness or reduced muscle endurance identified in 36.2% of patients. Psychosocial impairment remained clinically relevant because low exercise self-efficacy and anxiety or depressive symptoms were reported in 29.8% and 31.9% of participants, respectively. Baseline exercise intolerance was documented in nearly one-third of the cohort, supporting the multifactorial nature of reduced functional performance in COPD. </w:t>
      </w:r>
    </w:p>
    <w:p w:rsidR="0008460E" w:rsidRPr="0008460E" w:rsidRDefault="0008460E" w:rsidP="0008460E">
      <w:pPr>
        <w:pStyle w:val="Body"/>
      </w:pPr>
      <w:r w:rsidRPr="0008460E">
        <w:t xml:space="preserve">Follow-up analysis demonstrated measurable improvement in exercise performance and symptom burden after clinical management and intervention participation. Mean six-minute walk distance improved from 431.8 ± 121.6 meters at baseline to 461.7 ± 118.4 meters during follow-up, corresponding to a mean increase of 29.9 ± 58.6 meters. Clinically meaningful improvement of at least 30 meters was achieved in 43.6% of participants, indicating substantial functional recovery in a considerable proportion of patients. Despite this improvement, persistent severe exercise limitation with six-minute walk distance ≤350 meters remained in 25.5% of cases, suggesting incomplete functional recovery among high-risk individuals. Dyspnea outcomes also improved, as the mean Borg dyspnea score decreased from 4.8 ± 1.6 to 4.1 ± 1.5, with an average reduction of 0.7 ± 1.2 points. Quality-of-life improvement was observed in 41.5% of participants, whereas exercise intolerance persisted in 26.6%. Poor clinical outcome occurred in 30.9% of patients, while COPD exacerbation and hospitalization during follow-up were reported in 14.9% and 7.4% of participants, respectively. </w:t>
      </w:r>
    </w:p>
    <w:p w:rsidR="0008460E" w:rsidRPr="0008460E" w:rsidRDefault="0008460E" w:rsidP="0008460E">
      <w:pPr>
        <w:pStyle w:val="Body"/>
      </w:pPr>
      <w:r w:rsidRPr="0008460E">
        <w:t xml:space="preserve">Inferential analysis identified several clinically significant predictors of poor outcome. Patients with baseline six-minute walk distance ≤350 meters had nearly threefold increased odds of poor clinical outcome (OR 2.84, 95% CI 1.15–7.02, p=0.024), highlighting the prognostic importance of impaired baseline functional capacity. Reduced forced vital capacity was also associated with adverse outcome (OR 2.37, 95% CI 1.01–5.57, p=0.047), indicating that restrictive </w:t>
      </w:r>
      <w:proofErr w:type="spellStart"/>
      <w:r w:rsidRPr="0008460E">
        <w:t>ventilatory</w:t>
      </w:r>
      <w:proofErr w:type="spellEnd"/>
      <w:r w:rsidRPr="0008460E">
        <w:t xml:space="preserve"> limitation contributed independently to disease burden. Quadriceps weakness or reduced muscle endurance emerged as one of the strongest predictors, increasing the likelihood of poor outcome more than threefold (OR 3.18, 95% CI 1.29–7.86, p=0.012). Similarly, pulmonary hypertension or abnormal pulmonary hemodynamics demonstrated a strong adverse association (OR 3.64, 95% CI 1.22–10.89, p=0.021). Low exercise self-efficacy was significantly associated with poorer recovery and increased odds of adverse outcome (OR 2.52, 95% CI 1.01–6.31, p=0.048). In contrast, intervention group participation showed a protective effect against poor clinical outcome (OR 0.46, 95% CI 0.19–0.98, p=0.041), suggesting potential benefit of structured rehabilitation or supportive intervention strategies. Severe airflow limitation and hyperinflation demonstrated adverse but statistically non-significant trends. </w:t>
      </w:r>
    </w:p>
    <w:p w:rsidR="0008460E" w:rsidRPr="0008460E" w:rsidRDefault="0008460E" w:rsidP="0008460E">
      <w:pPr>
        <w:pStyle w:val="Body"/>
        <w:jc w:val="center"/>
      </w:pPr>
      <w:r>
        <w:rPr>
          <w:noProof/>
        </w:rPr>
        <w:lastRenderedPageBreak/>
        <w:drawing>
          <wp:inline distT="0" distB="0" distL="0" distR="0">
            <wp:extent cx="4572000" cy="27279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02_04_33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727904"/>
                    </a:xfrm>
                    <a:prstGeom prst="rect">
                      <a:avLst/>
                    </a:prstGeom>
                  </pic:spPr>
                </pic:pic>
              </a:graphicData>
            </a:graphic>
          </wp:inline>
        </w:drawing>
      </w:r>
    </w:p>
    <w:p w:rsidR="0008460E" w:rsidRPr="0008460E" w:rsidRDefault="0008460E" w:rsidP="0008460E">
      <w:pPr>
        <w:pStyle w:val="Body"/>
      </w:pPr>
    </w:p>
    <w:p w:rsidR="0008460E" w:rsidRPr="0008460E" w:rsidRDefault="0008460E" w:rsidP="0008460E">
      <w:pPr>
        <w:pStyle w:val="Caption"/>
        <w:jc w:val="both"/>
      </w:pPr>
      <w:r w:rsidRPr="0008460E">
        <w:t>Figure 1. Multidimensional Predictors of Poor Clinical Outcome in COPD Patients</w:t>
      </w:r>
    </w:p>
    <w:p w:rsidR="0008460E" w:rsidRPr="0008460E" w:rsidRDefault="0008460E" w:rsidP="0008460E">
      <w:pPr>
        <w:pStyle w:val="Body"/>
      </w:pPr>
      <w:r w:rsidRPr="0008460E">
        <w:t xml:space="preserve">A multidimensional comparative visualization of adjusted odds ratios demonstrated that pulmonary hypertension or abnormal pulmonary hemodynamics showed the strongest association with poor clinical outcome (OR 3.64, 95% CI 1.22–10.89), followed closely by quadriceps weakness or reduced muscle endurance (OR 3.18, 95% CI 1.29–7.86). Baseline six-minute walk distance ≤350 meters was associated with nearly threefold increased risk of adverse outcome (OR 2.84, 95% CI 1.15–7.02), while reduced forced vital capacity and low exercise self-efficacy also demonstrated significant associations with poor prognosis. Hyperinflation and severe airflow limitation showed elevated but statistically non-significant trends. In contrast, intervention group participation demonstrated a protective effect, reducing the odds of poor clinical outcome by approximately 54% (OR 0.46, 95% CI 0.19–0.98). Collectively, the distribution pattern illustrated that muscular dysfunction and pulmonary hemodynamic impairment exerted stronger prognostic influence than </w:t>
      </w:r>
      <w:proofErr w:type="spellStart"/>
      <w:r w:rsidRPr="0008460E">
        <w:t>spirometric</w:t>
      </w:r>
      <w:proofErr w:type="spellEnd"/>
      <w:r w:rsidRPr="0008460E">
        <w:t xml:space="preserve"> severity alone, emphasizing the multidimensional determinants of exercise limitation and recovery in COPD patients</w:t>
      </w:r>
    </w:p>
    <w:p w:rsidR="0008460E" w:rsidRPr="0008460E" w:rsidRDefault="0008460E" w:rsidP="0008460E">
      <w:pPr>
        <w:pStyle w:val="Heading1"/>
        <w:jc w:val="both"/>
      </w:pPr>
      <w:r w:rsidRPr="0008460E">
        <w:t>Discussion</w:t>
      </w:r>
    </w:p>
    <w:p w:rsidR="0008460E" w:rsidRPr="0008460E" w:rsidRDefault="0008460E" w:rsidP="0008460E">
      <w:pPr>
        <w:pStyle w:val="Body"/>
      </w:pPr>
      <w:r w:rsidRPr="0008460E">
        <w:t xml:space="preserve">The present study evaluated the clinical, physiological, and psychosocial factors associated with exercise capacity and poor clinical outcomes among patients with chronic obstructive pulmonary disease. The findings demonstrated that impaired baseline functional capacity, reduced pulmonary mechanics, peripheral muscle dysfunction, pulmonary hemodynamic abnormalities, and low exercise self-efficacy were significantly associated with adverse clinical outcomes. In contrast, participation in the intervention group showed a protective association, suggesting that structured management and rehabilitation strategies may improve recovery and functional performance in COPD patients. These findings support the concept that exercise limitation in COPD is multidimensional and cannot be explained solely by </w:t>
      </w:r>
      <w:proofErr w:type="spellStart"/>
      <w:r w:rsidRPr="0008460E">
        <w:t>spirometric</w:t>
      </w:r>
      <w:proofErr w:type="spellEnd"/>
      <w:r w:rsidRPr="0008460E">
        <w:t xml:space="preserve"> airflow obstruction.</w:t>
      </w:r>
    </w:p>
    <w:p w:rsidR="0008460E" w:rsidRPr="0008460E" w:rsidRDefault="0008460E" w:rsidP="0008460E">
      <w:pPr>
        <w:pStyle w:val="Body"/>
      </w:pPr>
      <w:r w:rsidRPr="0008460E">
        <w:t xml:space="preserve">Exercise intolerance is increasingly recognized as a major prognostic indicator in COPD because it reflects the integrated effects of pulmonary dysfunction, cardiovascular burden, muscular impairment, and behavioral limitation. In the present study, baseline six-minute walk distance ≤350 meters was significantly associated with poor clinical outcome, with affected patients demonstrating nearly threefold increased odds of adverse prognosis. This finding is consistent with previous literature showing that reduced six-minute walk distance predicts hospitalization, exacerbation risk, and mortality among COPD patients (12). Functional exercise limitation has been reported to correlate more strongly with daily activity impairment and quality-of-life reduction than isolated </w:t>
      </w:r>
      <w:proofErr w:type="spellStart"/>
      <w:r w:rsidRPr="0008460E">
        <w:t>spirometric</w:t>
      </w:r>
      <w:proofErr w:type="spellEnd"/>
      <w:r w:rsidRPr="0008460E">
        <w:t xml:space="preserve"> measures, emphasizing the importance of incorporating exercise assessment into routine clinical evaluation (13). The mean baseline six-minute walk distance in this cohort was 431.8 ± 121.6 meters and improved to 461.7 ± 118.4 meters during follow-up, indicating measurable functional recovery after management and intervention participation. </w:t>
      </w:r>
    </w:p>
    <w:p w:rsidR="0008460E" w:rsidRPr="0008460E" w:rsidRDefault="0008460E" w:rsidP="0008460E">
      <w:pPr>
        <w:pStyle w:val="Body"/>
      </w:pPr>
      <w:r w:rsidRPr="0008460E">
        <w:t xml:space="preserve">Severe airflow limitation demonstrated a borderline association with poor clinical outcome, whereas reduced forced vital capacity showed statistically significant association with adverse prognosis. These findings suggest </w:t>
      </w:r>
      <w:r w:rsidRPr="0008460E">
        <w:lastRenderedPageBreak/>
        <w:t xml:space="preserve">that </w:t>
      </w:r>
      <w:proofErr w:type="spellStart"/>
      <w:r w:rsidRPr="0008460E">
        <w:t>ventilatory</w:t>
      </w:r>
      <w:proofErr w:type="spellEnd"/>
      <w:r w:rsidRPr="0008460E">
        <w:t xml:space="preserve"> restriction and altered pulmonary mechanics may influence exercise performance beyond traditional FEV1 classification. Previous studies have demonstrated that static and dynamic hyperinflation impair inspiratory reserve capacity, increase </w:t>
      </w:r>
      <w:proofErr w:type="spellStart"/>
      <w:r w:rsidRPr="0008460E">
        <w:t>ventilatory</w:t>
      </w:r>
      <w:proofErr w:type="spellEnd"/>
      <w:r w:rsidRPr="0008460E">
        <w:t xml:space="preserve"> demand during exertion, and contribute substantially to </w:t>
      </w:r>
      <w:proofErr w:type="spellStart"/>
      <w:r w:rsidRPr="0008460E">
        <w:t>exertional</w:t>
      </w:r>
      <w:proofErr w:type="spellEnd"/>
      <w:r w:rsidRPr="0008460E">
        <w:t xml:space="preserve"> dyspnea and premature exercise termination (14). Although hyperinflation in the current study did not reach statistical significance, the observed adverse trend remains clinically relevant because hyperinflation affected more than 40% of participants and may interact with muscular and cardiovascular dysfunction to reduce functional tolerance. Similar observations have been reported by </w:t>
      </w:r>
      <w:proofErr w:type="spellStart"/>
      <w:r w:rsidRPr="0008460E">
        <w:t>Ladeira</w:t>
      </w:r>
      <w:proofErr w:type="spellEnd"/>
      <w:r w:rsidRPr="0008460E">
        <w:t xml:space="preserve"> et al., who demonstrated that hyperinflation negatively affects exercise performance and </w:t>
      </w:r>
      <w:proofErr w:type="spellStart"/>
      <w:r w:rsidRPr="0008460E">
        <w:t>ventilatory</w:t>
      </w:r>
      <w:proofErr w:type="spellEnd"/>
      <w:r w:rsidRPr="0008460E">
        <w:t xml:space="preserve"> efficiency in COPD patients (15).</w:t>
      </w:r>
    </w:p>
    <w:p w:rsidR="0008460E" w:rsidRPr="0008460E" w:rsidRDefault="0008460E" w:rsidP="0008460E">
      <w:pPr>
        <w:pStyle w:val="Body"/>
      </w:pPr>
      <w:r w:rsidRPr="0008460E">
        <w:t>Peripheral skeletal muscle dysfunction emerged as one of the strongest independent predictors of poor clinical outcome in the present study. Patients with quadriceps weakness or reduced muscle endurance had more than threefold increased odds of adverse outcome. This finding aligns with previous evidence demonstrating that skeletal muscle dysfunction contributes significantly to exercise intolerance through reduced oxidative metabolism, muscle deconditioning, and impaired peripheral oxygen utilization (16). Chronic inactivity, systemic inflammation, hypoxemia, nutritional imbalance, and corticosteroid exposure have all been implicated in the development of muscular impairment in COPD. The strong association observed in this study reinforces the importance of incorporating resistance training and muscle conditioning into pulmonary rehabilitation programs.</w:t>
      </w:r>
    </w:p>
    <w:p w:rsidR="0008460E" w:rsidRPr="0008460E" w:rsidRDefault="0008460E" w:rsidP="0008460E">
      <w:pPr>
        <w:pStyle w:val="Body"/>
      </w:pPr>
      <w:r w:rsidRPr="0008460E">
        <w:t xml:space="preserve">Pulmonary hypertension or abnormal pulmonary hemodynamics also demonstrated a strong association with poor clinical outcome. Patients with abnormal pulmonary hemodynamics had the highest odds ratio among all evaluated predictors, suggesting that cardiovascular limitation substantially contributes to exercise intolerance in COPD. Previous investigations have shown that pulmonary vascular dysfunction impairs oxygen delivery, increases right ventricular workload, and reduces exercise performance even in patients without severe resting hypoxemia (17). </w:t>
      </w:r>
      <w:proofErr w:type="spellStart"/>
      <w:r w:rsidRPr="0008460E">
        <w:t>Sassmann</w:t>
      </w:r>
      <w:proofErr w:type="spellEnd"/>
      <w:r w:rsidRPr="0008460E">
        <w:t xml:space="preserve"> et al. similarly reported that abnormal pulmonary hemodynamics during exercise are strongly associated with reduced exercise capacity and functional decline in COPD patients (18). These findings highlight the need for comprehensive cardiopulmonary evaluation in patients presenting with disproportionate exercise limitation relative to </w:t>
      </w:r>
      <w:proofErr w:type="spellStart"/>
      <w:r w:rsidRPr="0008460E">
        <w:t>spirometric</w:t>
      </w:r>
      <w:proofErr w:type="spellEnd"/>
      <w:r w:rsidRPr="0008460E">
        <w:t xml:space="preserve"> severity.</w:t>
      </w:r>
    </w:p>
    <w:p w:rsidR="0008460E" w:rsidRPr="0008460E" w:rsidRDefault="0008460E" w:rsidP="0008460E">
      <w:pPr>
        <w:pStyle w:val="Body"/>
      </w:pPr>
      <w:r w:rsidRPr="0008460E">
        <w:t>Psychosocial factors also played an important role in exercise capacity and recovery outcomes. Low exercise self-efficacy demonstrated significant association with poor clinical outcome, supporting prior evidence that confidence in physical activity participation influences rehabilitation adherence, daily activity levels, and long-term functional maintenance (19). Anxiety and depressive symptoms were also prevalent within the study cohort, affecting nearly one-third of participants. Psychological distress may contribute to physical inactivity, symptom amplification, social isolation, and reduced rehabilitation participation, thereby worsening overall disease burden. These findings support the growing emphasis on multidisciplinary COPD management approaches integrating psychological support with pulmonary rehabilitation and medical therapy.</w:t>
      </w:r>
    </w:p>
    <w:p w:rsidR="0008460E" w:rsidRPr="0008460E" w:rsidRDefault="0008460E" w:rsidP="0008460E">
      <w:pPr>
        <w:pStyle w:val="Body"/>
      </w:pPr>
      <w:r w:rsidRPr="0008460E">
        <w:t>Participation in the intervention group showed a protective association against poor clinical outcome, indicating that structured intervention strategies may improve exercise capacity and symptom burden in COPD patients. Mean six-minute walk distance improved by approximately 30 meters during follow-up, and clinically meaningful improvement was achieved in 43.6% of participants. Previous meta-analyses have demonstrated that exercise-based pulmonary rehabilitation improves exercise tolerance, dyspnea, and quality of life among patients with moderate-to-severe COPD (20). The findings of the present study further support the clinical value of rehabilitation-focused interventions, particularly among patients with baseline exercise limitation and muscular dysfunction.</w:t>
      </w:r>
    </w:p>
    <w:p w:rsidR="0008460E" w:rsidRPr="0008460E" w:rsidRDefault="0008460E" w:rsidP="0008460E">
      <w:pPr>
        <w:pStyle w:val="Body"/>
      </w:pPr>
      <w:r w:rsidRPr="0008460E">
        <w:t>The present study has several strengths, including evaluation of multiple physiological, muscular, psychosocial, and functional variables within the same clinical population. The inclusion of inferential analysis using odds ratios and confidence intervals also strengthened interpretation of predictors associated with poor clinical outcome. However, several limitations should be acknowledged. The sample size was relatively modest, and the observational nature of the study limited causal inference. Detailed subgroup analysis according to GOLD stage and intervention response was not performed. Additionally, long-term outcomes beyond the follow-up period were not available. Future multicenter studies with larger sample sizes and longitudinal assessment are needed to better define the interaction between pulmonary function, muscular dysfunction, psychosocial factors, and rehabilitation response in COPD patients.</w:t>
      </w:r>
    </w:p>
    <w:p w:rsidR="0008460E" w:rsidRPr="0008460E" w:rsidRDefault="0008460E" w:rsidP="0008460E">
      <w:pPr>
        <w:pStyle w:val="Heading1"/>
        <w:jc w:val="both"/>
      </w:pPr>
      <w:r w:rsidRPr="0008460E">
        <w:lastRenderedPageBreak/>
        <w:t>Conclusion</w:t>
      </w:r>
    </w:p>
    <w:p w:rsidR="0008460E" w:rsidRPr="0008460E" w:rsidRDefault="0008460E" w:rsidP="0008460E">
      <w:pPr>
        <w:pStyle w:val="Body"/>
      </w:pPr>
      <w:r w:rsidRPr="0008460E">
        <w:t xml:space="preserve">Exercise capacity impairment in patients with chronic obstructive pulmonary disease was significantly associated with multiple interrelated clinical, physiological, muscular, hemodynamic, and psychosocial factors. Reduced baseline six-minute walk distance, reduced forced vital capacity, quadriceps weakness or reduced muscle endurance, pulmonary hypertension or abnormal pulmonary hemodynamics, and low exercise self-efficacy were identified as significant predictors of poor clinical outcome, while intervention participation demonstrated a protective effect. These findings emphasize that exercise intolerance in COPD extends beyond </w:t>
      </w:r>
      <w:proofErr w:type="spellStart"/>
      <w:r w:rsidRPr="0008460E">
        <w:t>spirometric</w:t>
      </w:r>
      <w:proofErr w:type="spellEnd"/>
      <w:r w:rsidRPr="0008460E">
        <w:t xml:space="preserve"> airflow limitation alone and reflects the combined influence of pulmonary dysfunction, peripheral muscle impairment, cardiovascular burden, and behavioral factors. Improvement in six-minute walk distance and dyspnea scores during follow-up further supports the clinical value of structured intervention and rehabilitation strategies. Comprehensive multidimensional assessment and targeted rehabilitation approaches may therefore improve functional performance, reduce adverse outcomes, and enhance quality of life among patients with chronic obstructive pulmonary disease.</w:t>
      </w:r>
    </w:p>
    <w:p w:rsidR="0008460E" w:rsidRPr="0008460E" w:rsidRDefault="0008460E" w:rsidP="0008460E">
      <w:pPr>
        <w:pStyle w:val="Heading1"/>
      </w:pPr>
      <w:r w:rsidRPr="0008460E">
        <w:t>References</w:t>
      </w:r>
    </w:p>
    <w:p w:rsidR="0008460E" w:rsidRPr="0008460E" w:rsidRDefault="0008460E" w:rsidP="0008460E">
      <w:pPr>
        <w:pStyle w:val="Body"/>
        <w:numPr>
          <w:ilvl w:val="0"/>
          <w:numId w:val="17"/>
        </w:numPr>
      </w:pPr>
      <w:proofErr w:type="spellStart"/>
      <w:r w:rsidRPr="0008460E">
        <w:t>Behnia</w:t>
      </w:r>
      <w:proofErr w:type="spellEnd"/>
      <w:r w:rsidRPr="0008460E">
        <w:t xml:space="preserve"> M, </w:t>
      </w:r>
      <w:proofErr w:type="spellStart"/>
      <w:r w:rsidRPr="0008460E">
        <w:t>Sietsema</w:t>
      </w:r>
      <w:proofErr w:type="spellEnd"/>
      <w:r w:rsidRPr="0008460E">
        <w:t xml:space="preserve"> KE. Utility of cardiopulmonary exercise testing in chronic obstructive pulmonary disease: a review. </w:t>
      </w:r>
      <w:proofErr w:type="spellStart"/>
      <w:r w:rsidRPr="0008460E">
        <w:t>Int</w:t>
      </w:r>
      <w:proofErr w:type="spellEnd"/>
      <w:r w:rsidRPr="0008460E">
        <w:t xml:space="preserve"> J </w:t>
      </w:r>
      <w:proofErr w:type="spellStart"/>
      <w:r w:rsidRPr="0008460E">
        <w:t>Chron</w:t>
      </w:r>
      <w:proofErr w:type="spellEnd"/>
      <w:r w:rsidRPr="0008460E">
        <w:t xml:space="preserve"> Obstruct </w:t>
      </w:r>
      <w:proofErr w:type="spellStart"/>
      <w:r w:rsidRPr="0008460E">
        <w:t>Pulmon</w:t>
      </w:r>
      <w:proofErr w:type="spellEnd"/>
      <w:r w:rsidRPr="0008460E">
        <w:t xml:space="preserve"> Dis. 2023</w:t>
      </w:r>
      <w:proofErr w:type="gramStart"/>
      <w:r w:rsidRPr="0008460E">
        <w:t>;18:1245</w:t>
      </w:r>
      <w:proofErr w:type="gramEnd"/>
      <w:r w:rsidRPr="0008460E">
        <w:t xml:space="preserve">-1258. doi:10.2147/COPD.S432841 </w:t>
      </w:r>
    </w:p>
    <w:p w:rsidR="0008460E" w:rsidRPr="0008460E" w:rsidRDefault="0008460E" w:rsidP="0008460E">
      <w:pPr>
        <w:pStyle w:val="Body"/>
        <w:numPr>
          <w:ilvl w:val="0"/>
          <w:numId w:val="17"/>
        </w:numPr>
      </w:pPr>
      <w:proofErr w:type="spellStart"/>
      <w:r w:rsidRPr="0008460E">
        <w:t>Boutou</w:t>
      </w:r>
      <w:proofErr w:type="spellEnd"/>
      <w:r w:rsidRPr="0008460E">
        <w:t xml:space="preserve"> AK, </w:t>
      </w:r>
      <w:proofErr w:type="spellStart"/>
      <w:r w:rsidRPr="0008460E">
        <w:t>Zafeiridis</w:t>
      </w:r>
      <w:proofErr w:type="spellEnd"/>
      <w:r w:rsidRPr="0008460E">
        <w:t xml:space="preserve"> A, </w:t>
      </w:r>
      <w:proofErr w:type="spellStart"/>
      <w:r w:rsidRPr="0008460E">
        <w:t>Pitsiou</w:t>
      </w:r>
      <w:proofErr w:type="spellEnd"/>
      <w:r w:rsidRPr="0008460E">
        <w:t xml:space="preserve"> G, </w:t>
      </w:r>
      <w:proofErr w:type="spellStart"/>
      <w:r w:rsidRPr="0008460E">
        <w:t>Dipla</w:t>
      </w:r>
      <w:proofErr w:type="spellEnd"/>
      <w:r w:rsidRPr="0008460E">
        <w:t xml:space="preserve"> K, </w:t>
      </w:r>
      <w:proofErr w:type="spellStart"/>
      <w:r w:rsidRPr="0008460E">
        <w:t>Kioumis</w:t>
      </w:r>
      <w:proofErr w:type="spellEnd"/>
      <w:r w:rsidRPr="0008460E">
        <w:t xml:space="preserve"> I, </w:t>
      </w:r>
      <w:proofErr w:type="spellStart"/>
      <w:r w:rsidRPr="0008460E">
        <w:t>Stanopoulos</w:t>
      </w:r>
      <w:proofErr w:type="spellEnd"/>
      <w:r w:rsidRPr="0008460E">
        <w:t xml:space="preserve"> I. Cardiopulmonary exercise testing in chronic obstructive pulmonary disease: an update on its clinical value and applications. </w:t>
      </w:r>
      <w:proofErr w:type="spellStart"/>
      <w:r w:rsidRPr="0008460E">
        <w:t>Clin</w:t>
      </w:r>
      <w:proofErr w:type="spellEnd"/>
      <w:r w:rsidRPr="0008460E">
        <w:t xml:space="preserve"> </w:t>
      </w:r>
      <w:proofErr w:type="spellStart"/>
      <w:r w:rsidRPr="0008460E">
        <w:t>Physiol</w:t>
      </w:r>
      <w:proofErr w:type="spellEnd"/>
      <w:r w:rsidRPr="0008460E">
        <w:t xml:space="preserve"> </w:t>
      </w:r>
      <w:proofErr w:type="spellStart"/>
      <w:r w:rsidRPr="0008460E">
        <w:t>Funct</w:t>
      </w:r>
      <w:proofErr w:type="spellEnd"/>
      <w:r w:rsidRPr="0008460E">
        <w:t xml:space="preserve"> Imaging. 2020</w:t>
      </w:r>
      <w:proofErr w:type="gramStart"/>
      <w:r w:rsidRPr="0008460E">
        <w:t>;40</w:t>
      </w:r>
      <w:proofErr w:type="gramEnd"/>
      <w:r w:rsidRPr="0008460E">
        <w:t xml:space="preserve">(4):197-206. doi:10.1111/cpf.12627 </w:t>
      </w:r>
    </w:p>
    <w:p w:rsidR="0008460E" w:rsidRPr="0008460E" w:rsidRDefault="0008460E" w:rsidP="0008460E">
      <w:pPr>
        <w:pStyle w:val="Body"/>
        <w:numPr>
          <w:ilvl w:val="0"/>
          <w:numId w:val="17"/>
        </w:numPr>
      </w:pPr>
      <w:proofErr w:type="spellStart"/>
      <w:r w:rsidRPr="0008460E">
        <w:t>Djebaili</w:t>
      </w:r>
      <w:proofErr w:type="spellEnd"/>
      <w:r w:rsidRPr="0008460E">
        <w:t xml:space="preserve"> R, </w:t>
      </w:r>
      <w:proofErr w:type="spellStart"/>
      <w:r w:rsidRPr="0008460E">
        <w:t>Righi</w:t>
      </w:r>
      <w:proofErr w:type="spellEnd"/>
      <w:r w:rsidRPr="0008460E">
        <w:t xml:space="preserve"> N, </w:t>
      </w:r>
      <w:proofErr w:type="spellStart"/>
      <w:r w:rsidRPr="0008460E">
        <w:t>Benbouza</w:t>
      </w:r>
      <w:proofErr w:type="spellEnd"/>
      <w:r w:rsidRPr="0008460E">
        <w:t xml:space="preserve"> A, </w:t>
      </w:r>
      <w:proofErr w:type="spellStart"/>
      <w:r w:rsidRPr="0008460E">
        <w:t>Chiboub</w:t>
      </w:r>
      <w:proofErr w:type="spellEnd"/>
      <w:r w:rsidRPr="0008460E">
        <w:t xml:space="preserve"> B. Factors limiting exercise capacity in COPD patients. </w:t>
      </w:r>
      <w:proofErr w:type="spellStart"/>
      <w:r w:rsidRPr="0008460E">
        <w:t>Int</w:t>
      </w:r>
      <w:proofErr w:type="spellEnd"/>
      <w:r w:rsidRPr="0008460E">
        <w:t xml:space="preserve"> J Med. 2024</w:t>
      </w:r>
      <w:proofErr w:type="gramStart"/>
      <w:r w:rsidRPr="0008460E">
        <w:t>;12</w:t>
      </w:r>
      <w:proofErr w:type="gramEnd"/>
      <w:r w:rsidRPr="0008460E">
        <w:t xml:space="preserve">(2):101-109. doi:10.14419/mrga5j48 </w:t>
      </w:r>
    </w:p>
    <w:p w:rsidR="0008460E" w:rsidRPr="0008460E" w:rsidRDefault="0008460E" w:rsidP="0008460E">
      <w:pPr>
        <w:pStyle w:val="Body"/>
        <w:numPr>
          <w:ilvl w:val="0"/>
          <w:numId w:val="17"/>
        </w:numPr>
      </w:pPr>
      <w:r w:rsidRPr="0008460E">
        <w:t>González-</w:t>
      </w:r>
      <w:proofErr w:type="spellStart"/>
      <w:r w:rsidRPr="0008460E">
        <w:t>García</w:t>
      </w:r>
      <w:proofErr w:type="spellEnd"/>
      <w:r w:rsidRPr="0008460E">
        <w:t xml:space="preserve"> M, </w:t>
      </w:r>
      <w:proofErr w:type="spellStart"/>
      <w:r w:rsidRPr="0008460E">
        <w:t>Barrero</w:t>
      </w:r>
      <w:proofErr w:type="spellEnd"/>
      <w:r w:rsidRPr="0008460E">
        <w:t xml:space="preserve"> M, Maldonado D. Exercise capacity, </w:t>
      </w:r>
      <w:proofErr w:type="spellStart"/>
      <w:r w:rsidRPr="0008460E">
        <w:t>ventilatory</w:t>
      </w:r>
      <w:proofErr w:type="spellEnd"/>
      <w:r w:rsidRPr="0008460E">
        <w:t xml:space="preserve"> response, and gas exchange in COPD patients with mild to severe obstruction residing at high altitude. Front Physiol. 2021</w:t>
      </w:r>
      <w:proofErr w:type="gramStart"/>
      <w:r w:rsidRPr="0008460E">
        <w:t>;12:668144</w:t>
      </w:r>
      <w:proofErr w:type="gramEnd"/>
      <w:r w:rsidRPr="0008460E">
        <w:t xml:space="preserve">. doi:10.3389/fphys.2021.668144 </w:t>
      </w:r>
    </w:p>
    <w:p w:rsidR="0008460E" w:rsidRPr="0008460E" w:rsidRDefault="0008460E" w:rsidP="0008460E">
      <w:pPr>
        <w:pStyle w:val="Body"/>
        <w:numPr>
          <w:ilvl w:val="0"/>
          <w:numId w:val="17"/>
        </w:numPr>
      </w:pPr>
      <w:r w:rsidRPr="0008460E">
        <w:t xml:space="preserve">Kim TH, </w:t>
      </w:r>
      <w:proofErr w:type="spellStart"/>
      <w:r w:rsidRPr="0008460E">
        <w:t>Heo</w:t>
      </w:r>
      <w:proofErr w:type="spellEnd"/>
      <w:r w:rsidRPr="0008460E">
        <w:t xml:space="preserve"> I, Kim NY, Park J, Yoon HY, Jung JY, et al. Factors associated with the discrepancy between exercise capacity and airflow limitation in patients with chronic obstructive pulmonary disease. </w:t>
      </w:r>
      <w:proofErr w:type="spellStart"/>
      <w:r w:rsidRPr="0008460E">
        <w:t>Tuberc</w:t>
      </w:r>
      <w:proofErr w:type="spellEnd"/>
      <w:r w:rsidRPr="0008460E">
        <w:t xml:space="preserve"> </w:t>
      </w:r>
      <w:proofErr w:type="spellStart"/>
      <w:r w:rsidRPr="0008460E">
        <w:t>Respir</w:t>
      </w:r>
      <w:proofErr w:type="spellEnd"/>
      <w:r w:rsidRPr="0008460E">
        <w:t xml:space="preserve"> Dis. 2024</w:t>
      </w:r>
      <w:proofErr w:type="gramStart"/>
      <w:r w:rsidRPr="0008460E">
        <w:t>;87</w:t>
      </w:r>
      <w:proofErr w:type="gramEnd"/>
      <w:r w:rsidRPr="0008460E">
        <w:t xml:space="preserve">(1):55-64. doi:10.4046/trd.2023.0068 </w:t>
      </w:r>
    </w:p>
    <w:p w:rsidR="0008460E" w:rsidRPr="0008460E" w:rsidRDefault="0008460E" w:rsidP="0008460E">
      <w:pPr>
        <w:pStyle w:val="Body"/>
        <w:numPr>
          <w:ilvl w:val="0"/>
          <w:numId w:val="17"/>
        </w:numPr>
      </w:pPr>
      <w:proofErr w:type="spellStart"/>
      <w:r w:rsidRPr="0008460E">
        <w:t>Ladeira</w:t>
      </w:r>
      <w:proofErr w:type="spellEnd"/>
      <w:r w:rsidRPr="0008460E">
        <w:t xml:space="preserve"> I, Oliveira P, Gomes J, Lima R, </w:t>
      </w:r>
      <w:proofErr w:type="spellStart"/>
      <w:r w:rsidRPr="0008460E">
        <w:t>Guimarães</w:t>
      </w:r>
      <w:proofErr w:type="spellEnd"/>
      <w:r w:rsidRPr="0008460E">
        <w:t xml:space="preserve"> M. Can static hyperinflation predict exercise capacity in COPD? Pulmonology. 2021</w:t>
      </w:r>
      <w:proofErr w:type="gramStart"/>
      <w:r w:rsidRPr="0008460E">
        <w:t>;27</w:t>
      </w:r>
      <w:proofErr w:type="gramEnd"/>
      <w:r w:rsidRPr="0008460E">
        <w:t xml:space="preserve">(6):520-527. doi:10.1016/j.pulmoe.2021.08.011 </w:t>
      </w:r>
    </w:p>
    <w:p w:rsidR="0008460E" w:rsidRPr="0008460E" w:rsidRDefault="0008460E" w:rsidP="0008460E">
      <w:pPr>
        <w:pStyle w:val="Body"/>
        <w:numPr>
          <w:ilvl w:val="0"/>
          <w:numId w:val="17"/>
        </w:numPr>
      </w:pPr>
      <w:proofErr w:type="spellStart"/>
      <w:r w:rsidRPr="0008460E">
        <w:t>Sassmann</w:t>
      </w:r>
      <w:proofErr w:type="spellEnd"/>
      <w:r w:rsidRPr="0008460E">
        <w:t xml:space="preserve"> T, </w:t>
      </w:r>
      <w:proofErr w:type="spellStart"/>
      <w:r w:rsidRPr="0008460E">
        <w:t>Douschan</w:t>
      </w:r>
      <w:proofErr w:type="spellEnd"/>
      <w:r w:rsidRPr="0008460E">
        <w:t xml:space="preserve"> P, </w:t>
      </w:r>
      <w:proofErr w:type="spellStart"/>
      <w:r w:rsidRPr="0008460E">
        <w:t>Foris</w:t>
      </w:r>
      <w:proofErr w:type="spellEnd"/>
      <w:r w:rsidRPr="0008460E">
        <w:t xml:space="preserve"> V, </w:t>
      </w:r>
      <w:proofErr w:type="spellStart"/>
      <w:r w:rsidRPr="0008460E">
        <w:t>Tröster</w:t>
      </w:r>
      <w:proofErr w:type="spellEnd"/>
      <w:r w:rsidRPr="0008460E">
        <w:t xml:space="preserve"> N, </w:t>
      </w:r>
      <w:proofErr w:type="spellStart"/>
      <w:r w:rsidRPr="0008460E">
        <w:t>Zeder</w:t>
      </w:r>
      <w:proofErr w:type="spellEnd"/>
      <w:r w:rsidRPr="0008460E">
        <w:t xml:space="preserve"> K, </w:t>
      </w:r>
      <w:proofErr w:type="spellStart"/>
      <w:r w:rsidRPr="0008460E">
        <w:t>Brčić</w:t>
      </w:r>
      <w:proofErr w:type="spellEnd"/>
      <w:r w:rsidRPr="0008460E">
        <w:t xml:space="preserve"> L, et al. Abnormal pulmonary hemodynamics during exercise is associated with exercise capacity in COPD. </w:t>
      </w:r>
      <w:proofErr w:type="spellStart"/>
      <w:r w:rsidRPr="0008460E">
        <w:t>Respir</w:t>
      </w:r>
      <w:proofErr w:type="spellEnd"/>
      <w:r w:rsidRPr="0008460E">
        <w:t xml:space="preserve"> Res. 2022</w:t>
      </w:r>
      <w:proofErr w:type="gramStart"/>
      <w:r w:rsidRPr="0008460E">
        <w:t>;23</w:t>
      </w:r>
      <w:proofErr w:type="gramEnd"/>
      <w:r w:rsidRPr="0008460E">
        <w:t xml:space="preserve">(1):221. doi:10.1186/s12931-022-02238-9 </w:t>
      </w:r>
    </w:p>
    <w:p w:rsidR="0008460E" w:rsidRPr="0008460E" w:rsidRDefault="0008460E" w:rsidP="0008460E">
      <w:pPr>
        <w:pStyle w:val="Body"/>
        <w:numPr>
          <w:ilvl w:val="0"/>
          <w:numId w:val="17"/>
        </w:numPr>
      </w:pPr>
      <w:proofErr w:type="spellStart"/>
      <w:r w:rsidRPr="0008460E">
        <w:t>Kabbach</w:t>
      </w:r>
      <w:proofErr w:type="spellEnd"/>
      <w:r w:rsidRPr="0008460E">
        <w:t xml:space="preserve"> E, </w:t>
      </w:r>
      <w:proofErr w:type="spellStart"/>
      <w:r w:rsidRPr="0008460E">
        <w:t>Heubel</w:t>
      </w:r>
      <w:proofErr w:type="spellEnd"/>
      <w:r w:rsidRPr="0008460E">
        <w:t xml:space="preserve"> AD, </w:t>
      </w:r>
      <w:proofErr w:type="spellStart"/>
      <w:r w:rsidRPr="0008460E">
        <w:t>Goulart</w:t>
      </w:r>
      <w:proofErr w:type="spellEnd"/>
      <w:r w:rsidRPr="0008460E">
        <w:t xml:space="preserve"> CDL, Lorenzo VAPD, Phillips S, </w:t>
      </w:r>
      <w:proofErr w:type="spellStart"/>
      <w:r w:rsidRPr="0008460E">
        <w:t>Borghi</w:t>
      </w:r>
      <w:proofErr w:type="spellEnd"/>
      <w:r w:rsidRPr="0008460E">
        <w:t xml:space="preserve">-Silva A, et al. Association of exercise capacity and endothelial function in patients with severe exacerbations of chronic obstructive pulmonary disease. </w:t>
      </w:r>
      <w:proofErr w:type="spellStart"/>
      <w:r w:rsidRPr="0008460E">
        <w:t>Sci</w:t>
      </w:r>
      <w:proofErr w:type="spellEnd"/>
      <w:r w:rsidRPr="0008460E">
        <w:t xml:space="preserve"> Rep. 2021</w:t>
      </w:r>
      <w:proofErr w:type="gramStart"/>
      <w:r w:rsidRPr="0008460E">
        <w:t>;11</w:t>
      </w:r>
      <w:proofErr w:type="gramEnd"/>
      <w:r w:rsidRPr="0008460E">
        <w:t xml:space="preserve">(1):1243. doi:10.1038/s41598-020-80601-w </w:t>
      </w:r>
    </w:p>
    <w:p w:rsidR="0008460E" w:rsidRPr="0008460E" w:rsidRDefault="0008460E" w:rsidP="0008460E">
      <w:pPr>
        <w:pStyle w:val="Body"/>
        <w:numPr>
          <w:ilvl w:val="0"/>
          <w:numId w:val="17"/>
        </w:numPr>
      </w:pPr>
      <w:proofErr w:type="spellStart"/>
      <w:r w:rsidRPr="0008460E">
        <w:t>Selzler</w:t>
      </w:r>
      <w:proofErr w:type="spellEnd"/>
      <w:r w:rsidRPr="0008460E">
        <w:t xml:space="preserve"> AM, Moore V, </w:t>
      </w:r>
      <w:proofErr w:type="spellStart"/>
      <w:r w:rsidRPr="0008460E">
        <w:t>Habash</w:t>
      </w:r>
      <w:proofErr w:type="spellEnd"/>
      <w:r w:rsidRPr="0008460E">
        <w:t xml:space="preserve"> R, </w:t>
      </w:r>
      <w:proofErr w:type="spellStart"/>
      <w:r w:rsidRPr="0008460E">
        <w:t>Ellerton</w:t>
      </w:r>
      <w:proofErr w:type="spellEnd"/>
      <w:r w:rsidRPr="0008460E">
        <w:t xml:space="preserve"> L, </w:t>
      </w:r>
      <w:proofErr w:type="spellStart"/>
      <w:r w:rsidRPr="0008460E">
        <w:t>Lenton</w:t>
      </w:r>
      <w:proofErr w:type="spellEnd"/>
      <w:r w:rsidRPr="0008460E">
        <w:t xml:space="preserve"> E, Goldstein R, Brooks D. The relationship between self-efficacy, functional exercise capacity and physical activity in people with COPD: a systematic review and meta-analyses. COPD. 2020</w:t>
      </w:r>
      <w:proofErr w:type="gramStart"/>
      <w:r w:rsidRPr="0008460E">
        <w:t>;17</w:t>
      </w:r>
      <w:proofErr w:type="gramEnd"/>
      <w:r w:rsidRPr="0008460E">
        <w:t xml:space="preserve">(4):452-461. doi:10.1080/15412555.2020.1782866 </w:t>
      </w:r>
    </w:p>
    <w:p w:rsidR="0008460E" w:rsidRPr="0008460E" w:rsidRDefault="0008460E" w:rsidP="0008460E">
      <w:pPr>
        <w:pStyle w:val="Body"/>
        <w:numPr>
          <w:ilvl w:val="0"/>
          <w:numId w:val="17"/>
        </w:numPr>
      </w:pPr>
      <w:r w:rsidRPr="0008460E">
        <w:t xml:space="preserve">He W, Wang J, Feng Z, Li J, </w:t>
      </w:r>
      <w:proofErr w:type="spellStart"/>
      <w:r w:rsidRPr="0008460E">
        <w:t>Xie</w:t>
      </w:r>
      <w:proofErr w:type="spellEnd"/>
      <w:r w:rsidRPr="0008460E">
        <w:t xml:space="preserve"> Y. Effects of exercise-based pulmonary rehabilitation on severe/very severe COPD: a systematic review and meta-analysis. </w:t>
      </w:r>
      <w:proofErr w:type="spellStart"/>
      <w:r w:rsidRPr="0008460E">
        <w:t>Ther</w:t>
      </w:r>
      <w:proofErr w:type="spellEnd"/>
      <w:r w:rsidRPr="0008460E">
        <w:t xml:space="preserve"> </w:t>
      </w:r>
      <w:proofErr w:type="spellStart"/>
      <w:r w:rsidRPr="0008460E">
        <w:t>Adv</w:t>
      </w:r>
      <w:proofErr w:type="spellEnd"/>
      <w:r w:rsidRPr="0008460E">
        <w:t xml:space="preserve"> </w:t>
      </w:r>
      <w:proofErr w:type="spellStart"/>
      <w:r w:rsidRPr="0008460E">
        <w:t>Respir</w:t>
      </w:r>
      <w:proofErr w:type="spellEnd"/>
      <w:r w:rsidRPr="0008460E">
        <w:t xml:space="preserve"> Dis. 2023</w:t>
      </w:r>
      <w:proofErr w:type="gramStart"/>
      <w:r w:rsidRPr="0008460E">
        <w:t>;17:1</w:t>
      </w:r>
      <w:proofErr w:type="gramEnd"/>
      <w:r w:rsidRPr="0008460E">
        <w:t xml:space="preserve">-14. doi:10.1177/17534666231162250 </w:t>
      </w:r>
    </w:p>
    <w:p w:rsidR="0008460E" w:rsidRPr="0008460E" w:rsidRDefault="0008460E" w:rsidP="0008460E">
      <w:pPr>
        <w:pStyle w:val="Body"/>
        <w:numPr>
          <w:ilvl w:val="0"/>
          <w:numId w:val="17"/>
        </w:numPr>
      </w:pPr>
      <w:r w:rsidRPr="0008460E">
        <w:t xml:space="preserve">Patel S, </w:t>
      </w:r>
      <w:proofErr w:type="spellStart"/>
      <w:r w:rsidRPr="0008460E">
        <w:t>Maddocks</w:t>
      </w:r>
      <w:proofErr w:type="spellEnd"/>
      <w:r w:rsidRPr="0008460E">
        <w:t xml:space="preserve"> M, Man WDC. Exercise training in COPD. Chest. 2020</w:t>
      </w:r>
      <w:proofErr w:type="gramStart"/>
      <w:r w:rsidRPr="0008460E">
        <w:t>;158</w:t>
      </w:r>
      <w:proofErr w:type="gramEnd"/>
      <w:r w:rsidRPr="0008460E">
        <w:t xml:space="preserve">(1):9-10. doi:10.1016/j.chest.2020.02.040 </w:t>
      </w:r>
    </w:p>
    <w:p w:rsidR="0008460E" w:rsidRPr="0008460E" w:rsidRDefault="0008460E" w:rsidP="0008460E">
      <w:pPr>
        <w:pStyle w:val="Body"/>
        <w:numPr>
          <w:ilvl w:val="0"/>
          <w:numId w:val="17"/>
        </w:numPr>
      </w:pPr>
      <w:r w:rsidRPr="0008460E">
        <w:t xml:space="preserve">Liu W, Liu Y, Li X. Impact of exercise capacity upon respiratory functions, perception of dyspnea, and quality of life in patients with chronic obstructive pulmonary disease. </w:t>
      </w:r>
      <w:proofErr w:type="spellStart"/>
      <w:r w:rsidRPr="0008460E">
        <w:t>Int</w:t>
      </w:r>
      <w:proofErr w:type="spellEnd"/>
      <w:r w:rsidRPr="0008460E">
        <w:t xml:space="preserve"> J </w:t>
      </w:r>
      <w:proofErr w:type="spellStart"/>
      <w:r w:rsidRPr="0008460E">
        <w:t>Chron</w:t>
      </w:r>
      <w:proofErr w:type="spellEnd"/>
      <w:r w:rsidRPr="0008460E">
        <w:t xml:space="preserve"> Obstruct </w:t>
      </w:r>
      <w:proofErr w:type="spellStart"/>
      <w:r w:rsidRPr="0008460E">
        <w:t>Pulmon</w:t>
      </w:r>
      <w:proofErr w:type="spellEnd"/>
      <w:r w:rsidRPr="0008460E">
        <w:t xml:space="preserve"> Dis. 2021</w:t>
      </w:r>
      <w:proofErr w:type="gramStart"/>
      <w:r w:rsidRPr="0008460E">
        <w:t>;16:1645</w:t>
      </w:r>
      <w:proofErr w:type="gramEnd"/>
      <w:r w:rsidRPr="0008460E">
        <w:t xml:space="preserve">-1656. doi:10.2147/COPD.S311221 </w:t>
      </w:r>
    </w:p>
    <w:p w:rsidR="0008460E" w:rsidRPr="0008460E" w:rsidRDefault="0008460E" w:rsidP="0008460E">
      <w:pPr>
        <w:pStyle w:val="Body"/>
        <w:numPr>
          <w:ilvl w:val="0"/>
          <w:numId w:val="17"/>
        </w:numPr>
      </w:pPr>
      <w:proofErr w:type="spellStart"/>
      <w:r w:rsidRPr="0008460E">
        <w:lastRenderedPageBreak/>
        <w:t>Tekerlek</w:t>
      </w:r>
      <w:proofErr w:type="spellEnd"/>
      <w:r w:rsidRPr="0008460E">
        <w:t xml:space="preserve"> H, </w:t>
      </w:r>
      <w:proofErr w:type="spellStart"/>
      <w:r w:rsidRPr="0008460E">
        <w:t>Cakmak</w:t>
      </w:r>
      <w:proofErr w:type="spellEnd"/>
      <w:r w:rsidRPr="0008460E">
        <w:t xml:space="preserve"> A, </w:t>
      </w:r>
      <w:proofErr w:type="spellStart"/>
      <w:r w:rsidRPr="0008460E">
        <w:t>Calik-Kutukcu</w:t>
      </w:r>
      <w:proofErr w:type="spellEnd"/>
      <w:r w:rsidRPr="0008460E">
        <w:t xml:space="preserve"> E, </w:t>
      </w:r>
      <w:proofErr w:type="spellStart"/>
      <w:r w:rsidRPr="0008460E">
        <w:t>Arikan</w:t>
      </w:r>
      <w:proofErr w:type="spellEnd"/>
      <w:r w:rsidRPr="0008460E">
        <w:t xml:space="preserve"> H, </w:t>
      </w:r>
      <w:proofErr w:type="spellStart"/>
      <w:r w:rsidRPr="0008460E">
        <w:t>Inal-Ince</w:t>
      </w:r>
      <w:proofErr w:type="spellEnd"/>
      <w:r w:rsidRPr="0008460E">
        <w:t xml:space="preserve"> D, </w:t>
      </w:r>
      <w:proofErr w:type="spellStart"/>
      <w:r w:rsidRPr="0008460E">
        <w:t>Saglam</w:t>
      </w:r>
      <w:proofErr w:type="spellEnd"/>
      <w:r w:rsidRPr="0008460E">
        <w:t xml:space="preserve"> M, et al. Exercise capacity and activities of daily living are related in patients with chronic obstructive pulmonary disease. Arch </w:t>
      </w:r>
      <w:proofErr w:type="spellStart"/>
      <w:r w:rsidRPr="0008460E">
        <w:t>Bronconeumol</w:t>
      </w:r>
      <w:proofErr w:type="spellEnd"/>
      <w:r w:rsidRPr="0008460E">
        <w:t>. 2020</w:t>
      </w:r>
      <w:proofErr w:type="gramStart"/>
      <w:r w:rsidRPr="0008460E">
        <w:t>;56</w:t>
      </w:r>
      <w:proofErr w:type="gramEnd"/>
      <w:r w:rsidRPr="0008460E">
        <w:t xml:space="preserve">(4):208-213. doi:10.1016/j.arbres.2019.06.015 </w:t>
      </w:r>
    </w:p>
    <w:p w:rsidR="0008460E" w:rsidRPr="0008460E" w:rsidRDefault="0008460E" w:rsidP="0008460E">
      <w:pPr>
        <w:pStyle w:val="Body"/>
        <w:numPr>
          <w:ilvl w:val="0"/>
          <w:numId w:val="17"/>
        </w:numPr>
      </w:pPr>
      <w:r w:rsidRPr="0008460E">
        <w:t xml:space="preserve">Moon S, Lim J, Hong Y, Shin K, Lee C, Kim DJ, et al. Clinical impact of forced vital capacity on exercise performance in patients with chronic obstructive pulmonary disease. J </w:t>
      </w:r>
      <w:proofErr w:type="spellStart"/>
      <w:r w:rsidRPr="0008460E">
        <w:t>Thorac</w:t>
      </w:r>
      <w:proofErr w:type="spellEnd"/>
      <w:r w:rsidRPr="0008460E">
        <w:t xml:space="preserve"> Dis. 2021</w:t>
      </w:r>
      <w:proofErr w:type="gramStart"/>
      <w:r w:rsidRPr="0008460E">
        <w:t>;13</w:t>
      </w:r>
      <w:proofErr w:type="gramEnd"/>
      <w:r w:rsidRPr="0008460E">
        <w:t xml:space="preserve">(2):897-906. doi:10.21037/jtd-20-1098a </w:t>
      </w:r>
    </w:p>
    <w:p w:rsidR="0008460E" w:rsidRPr="0008460E" w:rsidRDefault="0008460E" w:rsidP="0008460E">
      <w:pPr>
        <w:pStyle w:val="Body"/>
        <w:numPr>
          <w:ilvl w:val="0"/>
          <w:numId w:val="17"/>
        </w:numPr>
      </w:pPr>
      <w:proofErr w:type="spellStart"/>
      <w:r w:rsidRPr="0008460E">
        <w:t>Shiraishi</w:t>
      </w:r>
      <w:proofErr w:type="spellEnd"/>
      <w:r w:rsidRPr="0008460E">
        <w:t xml:space="preserve"> M, </w:t>
      </w:r>
      <w:proofErr w:type="spellStart"/>
      <w:r w:rsidRPr="0008460E">
        <w:t>Higashimoto</w:t>
      </w:r>
      <w:proofErr w:type="spellEnd"/>
      <w:r w:rsidRPr="0008460E">
        <w:t xml:space="preserve"> Y, </w:t>
      </w:r>
      <w:proofErr w:type="spellStart"/>
      <w:r w:rsidRPr="0008460E">
        <w:t>Sugiya</w:t>
      </w:r>
      <w:proofErr w:type="spellEnd"/>
      <w:r w:rsidRPr="0008460E">
        <w:t xml:space="preserve"> R, </w:t>
      </w:r>
      <w:proofErr w:type="spellStart"/>
      <w:r w:rsidRPr="0008460E">
        <w:t>Mizusawa</w:t>
      </w:r>
      <w:proofErr w:type="spellEnd"/>
      <w:r w:rsidRPr="0008460E">
        <w:t xml:space="preserve"> H, Takeda Y, Fujita S, et al. Diaphragmatic excursion correlates with exercise capacity and dynamic hyperinflation in COPD patients. ERJ Open Res. 2020</w:t>
      </w:r>
      <w:proofErr w:type="gramStart"/>
      <w:r w:rsidRPr="0008460E">
        <w:t>;6</w:t>
      </w:r>
      <w:proofErr w:type="gramEnd"/>
      <w:r w:rsidRPr="0008460E">
        <w:t xml:space="preserve">(1):00589-2020. doi:10.1183/23120541.00589-2020 </w:t>
      </w:r>
    </w:p>
    <w:p w:rsidR="0008460E" w:rsidRPr="0008460E" w:rsidRDefault="0008460E" w:rsidP="0008460E">
      <w:pPr>
        <w:pStyle w:val="Body"/>
        <w:numPr>
          <w:ilvl w:val="0"/>
          <w:numId w:val="17"/>
        </w:numPr>
      </w:pPr>
      <w:proofErr w:type="spellStart"/>
      <w:r w:rsidRPr="0008460E">
        <w:t>Vaes</w:t>
      </w:r>
      <w:proofErr w:type="spellEnd"/>
      <w:r w:rsidRPr="0008460E">
        <w:t xml:space="preserve"> A, </w:t>
      </w:r>
      <w:proofErr w:type="spellStart"/>
      <w:r w:rsidRPr="0008460E">
        <w:t>Burtin</w:t>
      </w:r>
      <w:proofErr w:type="spellEnd"/>
      <w:r w:rsidRPr="0008460E">
        <w:t xml:space="preserve"> C, </w:t>
      </w:r>
      <w:proofErr w:type="spellStart"/>
      <w:r w:rsidRPr="0008460E">
        <w:t>Casaburi</w:t>
      </w:r>
      <w:proofErr w:type="spellEnd"/>
      <w:r w:rsidRPr="0008460E">
        <w:t xml:space="preserve"> R, Celli B, Evans R, </w:t>
      </w:r>
      <w:proofErr w:type="spellStart"/>
      <w:r w:rsidRPr="0008460E">
        <w:t>Lareau</w:t>
      </w:r>
      <w:proofErr w:type="spellEnd"/>
      <w:r w:rsidRPr="0008460E">
        <w:t xml:space="preserve"> SC, et al. Prevalence and prognostic importance of exercise limitation and physical inactivity in COPD. Breathe. 2024</w:t>
      </w:r>
      <w:proofErr w:type="gramStart"/>
      <w:r w:rsidRPr="0008460E">
        <w:t>;20</w:t>
      </w:r>
      <w:proofErr w:type="gramEnd"/>
      <w:r w:rsidRPr="0008460E">
        <w:t xml:space="preserve">(1):230179. doi:10.1183/20734735.0179-2023 </w:t>
      </w:r>
    </w:p>
    <w:p w:rsidR="0008460E" w:rsidRPr="0008460E" w:rsidRDefault="0008460E" w:rsidP="0008460E">
      <w:pPr>
        <w:pStyle w:val="Body"/>
        <w:numPr>
          <w:ilvl w:val="0"/>
          <w:numId w:val="17"/>
        </w:numPr>
      </w:pPr>
      <w:proofErr w:type="spellStart"/>
      <w:r w:rsidRPr="0008460E">
        <w:t>Rozenbaum</w:t>
      </w:r>
      <w:proofErr w:type="spellEnd"/>
      <w:r w:rsidRPr="0008460E">
        <w:t xml:space="preserve"> Z, Ben-Gal Y, </w:t>
      </w:r>
      <w:proofErr w:type="spellStart"/>
      <w:r w:rsidRPr="0008460E">
        <w:t>Kapusta</w:t>
      </w:r>
      <w:proofErr w:type="spellEnd"/>
      <w:r w:rsidRPr="0008460E">
        <w:t xml:space="preserve"> L, </w:t>
      </w:r>
      <w:proofErr w:type="spellStart"/>
      <w:r w:rsidRPr="0008460E">
        <w:t>Hochstadt</w:t>
      </w:r>
      <w:proofErr w:type="spellEnd"/>
      <w:r w:rsidRPr="0008460E">
        <w:t xml:space="preserve"> A, Ben </w:t>
      </w:r>
      <w:proofErr w:type="spellStart"/>
      <w:r w:rsidRPr="0008460E">
        <w:t>Shoshan</w:t>
      </w:r>
      <w:proofErr w:type="spellEnd"/>
      <w:r w:rsidRPr="0008460E">
        <w:t xml:space="preserve"> M, </w:t>
      </w:r>
      <w:proofErr w:type="spellStart"/>
      <w:r w:rsidRPr="0008460E">
        <w:t>Gotsman</w:t>
      </w:r>
      <w:proofErr w:type="spellEnd"/>
      <w:r w:rsidRPr="0008460E">
        <w:t xml:space="preserve"> A, et al. Combined echocardiographic and cardiopulmonary exercise assessment to determine exercise limitation in chronic obstructive pulmonary disease. J Am </w:t>
      </w:r>
      <w:proofErr w:type="spellStart"/>
      <w:r w:rsidRPr="0008460E">
        <w:t>Soc</w:t>
      </w:r>
      <w:proofErr w:type="spellEnd"/>
      <w:r w:rsidRPr="0008460E">
        <w:t xml:space="preserve"> </w:t>
      </w:r>
      <w:proofErr w:type="spellStart"/>
      <w:r w:rsidRPr="0008460E">
        <w:t>Echocardiogr</w:t>
      </w:r>
      <w:proofErr w:type="spellEnd"/>
      <w:r w:rsidRPr="0008460E">
        <w:t>. 2020</w:t>
      </w:r>
      <w:proofErr w:type="gramStart"/>
      <w:r w:rsidRPr="0008460E">
        <w:t>;33</w:t>
      </w:r>
      <w:proofErr w:type="gramEnd"/>
      <w:r w:rsidRPr="0008460E">
        <w:t xml:space="preserve">(12):1498-1507. doi:10.1016/j.echo.2020.09.014 </w:t>
      </w:r>
    </w:p>
    <w:p w:rsidR="0008460E" w:rsidRPr="0008460E" w:rsidRDefault="0008460E" w:rsidP="0008460E">
      <w:pPr>
        <w:pStyle w:val="Body"/>
        <w:numPr>
          <w:ilvl w:val="0"/>
          <w:numId w:val="17"/>
        </w:numPr>
      </w:pPr>
      <w:proofErr w:type="spellStart"/>
      <w:r w:rsidRPr="0008460E">
        <w:t>Vitacca</w:t>
      </w:r>
      <w:proofErr w:type="spellEnd"/>
      <w:r w:rsidRPr="0008460E">
        <w:t xml:space="preserve"> M, </w:t>
      </w:r>
      <w:proofErr w:type="spellStart"/>
      <w:r w:rsidRPr="0008460E">
        <w:t>Paneroni</w:t>
      </w:r>
      <w:proofErr w:type="spellEnd"/>
      <w:r w:rsidRPr="0008460E">
        <w:t xml:space="preserve"> M, </w:t>
      </w:r>
      <w:proofErr w:type="spellStart"/>
      <w:r w:rsidRPr="0008460E">
        <w:t>Braghiroli</w:t>
      </w:r>
      <w:proofErr w:type="spellEnd"/>
      <w:r w:rsidRPr="0008460E">
        <w:t xml:space="preserve"> A, </w:t>
      </w:r>
      <w:proofErr w:type="spellStart"/>
      <w:r w:rsidRPr="0008460E">
        <w:t>Balbi</w:t>
      </w:r>
      <w:proofErr w:type="spellEnd"/>
      <w:r w:rsidRPr="0008460E">
        <w:t xml:space="preserve"> B, </w:t>
      </w:r>
      <w:proofErr w:type="spellStart"/>
      <w:r w:rsidRPr="0008460E">
        <w:t>Aliani</w:t>
      </w:r>
      <w:proofErr w:type="spellEnd"/>
      <w:r w:rsidRPr="0008460E">
        <w:t xml:space="preserve"> M, Guido P, et al. Exercise capacity and comorbidities in patients with obstructive sleep apnea. J </w:t>
      </w:r>
      <w:proofErr w:type="spellStart"/>
      <w:r w:rsidRPr="0008460E">
        <w:t>Clin</w:t>
      </w:r>
      <w:proofErr w:type="spellEnd"/>
      <w:r w:rsidRPr="0008460E">
        <w:t xml:space="preserve"> Sleep Med. 2020</w:t>
      </w:r>
      <w:proofErr w:type="gramStart"/>
      <w:r w:rsidRPr="0008460E">
        <w:t>;16</w:t>
      </w:r>
      <w:proofErr w:type="gramEnd"/>
      <w:r w:rsidRPr="0008460E">
        <w:t xml:space="preserve">(5):745-752. doi:10.5664/jcsm.8258 </w:t>
      </w:r>
    </w:p>
    <w:p w:rsidR="0008460E" w:rsidRPr="0008460E" w:rsidRDefault="0008460E" w:rsidP="0008460E">
      <w:pPr>
        <w:pStyle w:val="Body"/>
        <w:numPr>
          <w:ilvl w:val="0"/>
          <w:numId w:val="17"/>
        </w:numPr>
      </w:pPr>
      <w:proofErr w:type="spellStart"/>
      <w:r w:rsidRPr="0008460E">
        <w:t>Neunhaeuserer</w:t>
      </w:r>
      <w:proofErr w:type="spellEnd"/>
      <w:r w:rsidRPr="0008460E">
        <w:t xml:space="preserve"> D, Reich B, </w:t>
      </w:r>
      <w:proofErr w:type="spellStart"/>
      <w:r w:rsidRPr="0008460E">
        <w:t>Mayr</w:t>
      </w:r>
      <w:proofErr w:type="spellEnd"/>
      <w:r w:rsidRPr="0008460E">
        <w:t xml:space="preserve"> B, Kaiser B, </w:t>
      </w:r>
      <w:proofErr w:type="spellStart"/>
      <w:r w:rsidRPr="0008460E">
        <w:t>Lamprecht</w:t>
      </w:r>
      <w:proofErr w:type="spellEnd"/>
      <w:r w:rsidRPr="0008460E">
        <w:t xml:space="preserve"> B, </w:t>
      </w:r>
      <w:proofErr w:type="spellStart"/>
      <w:r w:rsidRPr="0008460E">
        <w:t>Niederseer</w:t>
      </w:r>
      <w:proofErr w:type="spellEnd"/>
      <w:r w:rsidRPr="0008460E">
        <w:t xml:space="preserve"> D, et al. Impact of exercise training and supplemental oxygen on submaximal exercise performance in patients with COPD. </w:t>
      </w:r>
      <w:proofErr w:type="spellStart"/>
      <w:r w:rsidRPr="0008460E">
        <w:t>Scand</w:t>
      </w:r>
      <w:proofErr w:type="spellEnd"/>
      <w:r w:rsidRPr="0008460E">
        <w:t xml:space="preserve"> J Med </w:t>
      </w:r>
      <w:proofErr w:type="spellStart"/>
      <w:r w:rsidRPr="0008460E">
        <w:t>Sci</w:t>
      </w:r>
      <w:proofErr w:type="spellEnd"/>
      <w:r w:rsidRPr="0008460E">
        <w:t xml:space="preserve"> Sports. 2020</w:t>
      </w:r>
      <w:proofErr w:type="gramStart"/>
      <w:r w:rsidRPr="0008460E">
        <w:t>;30</w:t>
      </w:r>
      <w:proofErr w:type="gramEnd"/>
      <w:r w:rsidRPr="0008460E">
        <w:t xml:space="preserve">(12):2474-2483. doi:10.1111/sms.13870 </w:t>
      </w:r>
    </w:p>
    <w:p w:rsidR="0008460E" w:rsidRPr="0008460E" w:rsidRDefault="0008460E" w:rsidP="0008460E">
      <w:pPr>
        <w:pStyle w:val="Body"/>
        <w:numPr>
          <w:ilvl w:val="0"/>
          <w:numId w:val="17"/>
        </w:numPr>
      </w:pPr>
      <w:proofErr w:type="spellStart"/>
      <w:r w:rsidRPr="0008460E">
        <w:t>Rinaldo</w:t>
      </w:r>
      <w:proofErr w:type="spellEnd"/>
      <w:r w:rsidRPr="0008460E">
        <w:t xml:space="preserve"> R, </w:t>
      </w:r>
      <w:proofErr w:type="spellStart"/>
      <w:r w:rsidRPr="0008460E">
        <w:t>Mondoni</w:t>
      </w:r>
      <w:proofErr w:type="spellEnd"/>
      <w:r w:rsidRPr="0008460E">
        <w:t xml:space="preserve"> M, </w:t>
      </w:r>
      <w:proofErr w:type="spellStart"/>
      <w:r w:rsidRPr="0008460E">
        <w:t>Parazzini</w:t>
      </w:r>
      <w:proofErr w:type="spellEnd"/>
      <w:r w:rsidRPr="0008460E">
        <w:t xml:space="preserve"> E, </w:t>
      </w:r>
      <w:proofErr w:type="spellStart"/>
      <w:r w:rsidRPr="0008460E">
        <w:t>Baccelli</w:t>
      </w:r>
      <w:proofErr w:type="spellEnd"/>
      <w:r w:rsidRPr="0008460E">
        <w:t xml:space="preserve"> A, </w:t>
      </w:r>
      <w:proofErr w:type="spellStart"/>
      <w:r w:rsidRPr="0008460E">
        <w:t>Pitari</w:t>
      </w:r>
      <w:proofErr w:type="spellEnd"/>
      <w:r w:rsidRPr="0008460E">
        <w:t xml:space="preserve"> F, </w:t>
      </w:r>
      <w:proofErr w:type="spellStart"/>
      <w:r w:rsidRPr="0008460E">
        <w:t>Brambilla</w:t>
      </w:r>
      <w:proofErr w:type="spellEnd"/>
      <w:r w:rsidRPr="0008460E">
        <w:t xml:space="preserve"> E, et al. Severity does not impact on exercise capacity in COVID-19 survivors. </w:t>
      </w:r>
      <w:proofErr w:type="spellStart"/>
      <w:r w:rsidRPr="0008460E">
        <w:t>Respir</w:t>
      </w:r>
      <w:proofErr w:type="spellEnd"/>
      <w:r w:rsidRPr="0008460E">
        <w:t xml:space="preserve"> Med. 2021</w:t>
      </w:r>
      <w:proofErr w:type="gramStart"/>
      <w:r w:rsidRPr="0008460E">
        <w:t>;187:106577</w:t>
      </w:r>
      <w:proofErr w:type="gramEnd"/>
      <w:r w:rsidRPr="0008460E">
        <w:t xml:space="preserve">. doi:10.1016/j.rmed.2021.106577 </w:t>
      </w:r>
    </w:p>
    <w:p w:rsidR="0008460E" w:rsidRPr="0008460E" w:rsidRDefault="0008460E" w:rsidP="0008460E">
      <w:pPr>
        <w:pStyle w:val="Body"/>
      </w:pPr>
    </w:p>
    <w:p w:rsidR="00441E67" w:rsidRPr="004175AC" w:rsidRDefault="00441E67" w:rsidP="0008460E">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8A5" w:rsidRDefault="002608A5" w:rsidP="005146DA">
      <w:pPr>
        <w:spacing w:after="0" w:line="240" w:lineRule="auto"/>
      </w:pPr>
      <w:r>
        <w:separator/>
      </w:r>
    </w:p>
  </w:endnote>
  <w:endnote w:type="continuationSeparator" w:id="0">
    <w:p w:rsidR="002608A5" w:rsidRDefault="002608A5"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8A5" w:rsidRDefault="002608A5" w:rsidP="005146DA">
      <w:pPr>
        <w:spacing w:after="0" w:line="240" w:lineRule="auto"/>
      </w:pPr>
      <w:r>
        <w:separator/>
      </w:r>
    </w:p>
  </w:footnote>
  <w:footnote w:type="continuationSeparator" w:id="0">
    <w:p w:rsidR="002608A5" w:rsidRDefault="002608A5"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08460E">
          <w:rPr>
            <w:rStyle w:val="BodyChar"/>
            <w:rFonts w:cstheme="majorBidi"/>
            <w:color w:val="074F6A"/>
            <w:sz w:val="18"/>
            <w:vertAlign w:val="subscript"/>
          </w:rPr>
          <w:t>2004</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E304EC" w:rsidRPr="00E304EC">
          <w:rPr>
            <w:rStyle w:val="BodyChar"/>
            <w:rFonts w:cstheme="majorBidi"/>
            <w:noProof/>
            <w:color w:val="074F6A"/>
            <w:vertAlign w:val="subscript"/>
          </w:rPr>
          <w:t>9</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5D7CCB" w:rsidRPr="005D7CCB">
      <w:rPr>
        <w:rFonts w:ascii="Plantagenet Cherokee" w:hAnsi="Plantagenet Cherokee"/>
        <w:color w:val="0B769F" w:themeColor="accent4" w:themeShade="BF"/>
        <w:sz w:val="14"/>
        <w:szCs w:val="14"/>
      </w:rPr>
      <w:t>10.61919/jhrr.v6i5.2004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6">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F3877"/>
    <w:multiLevelType w:val="multilevel"/>
    <w:tmpl w:val="E5BA9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12"/>
  </w:num>
  <w:num w:numId="5">
    <w:abstractNumId w:val="13"/>
  </w:num>
  <w:num w:numId="6">
    <w:abstractNumId w:val="3"/>
  </w:num>
  <w:num w:numId="7">
    <w:abstractNumId w:val="15"/>
  </w:num>
  <w:num w:numId="8">
    <w:abstractNumId w:val="9"/>
  </w:num>
  <w:num w:numId="9">
    <w:abstractNumId w:val="1"/>
  </w:num>
  <w:num w:numId="10">
    <w:abstractNumId w:val="11"/>
  </w:num>
  <w:num w:numId="11">
    <w:abstractNumId w:val="2"/>
  </w:num>
  <w:num w:numId="12">
    <w:abstractNumId w:val="0"/>
  </w:num>
  <w:num w:numId="13">
    <w:abstractNumId w:val="4"/>
  </w:num>
  <w:num w:numId="14">
    <w:abstractNumId w:val="8"/>
  </w:num>
  <w:num w:numId="15">
    <w:abstractNumId w:val="16"/>
  </w:num>
  <w:num w:numId="16">
    <w:abstractNumId w:val="10"/>
  </w:num>
  <w:num w:numId="1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2C"/>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460E"/>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08A5"/>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D7CCB"/>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04EC"/>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62C"/>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63A1FF30-6323-4E9A-9830-D0F106F7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19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68957-4385-4EA8-A36B-ECD2EE85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16</TotalTime>
  <Pages>9</Pages>
  <Words>5688</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2</cp:revision>
  <cp:lastPrinted>2026-04-24T11:38:00Z</cp:lastPrinted>
  <dcterms:created xsi:type="dcterms:W3CDTF">2026-06-04T08:44:00Z</dcterms:created>
  <dcterms:modified xsi:type="dcterms:W3CDTF">2026-06-04T09:08:00Z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