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06340E" w:rsidP="00335DDB">
      <w:pPr>
        <w:pStyle w:val="Body"/>
        <w:tabs>
          <w:tab w:val="left" w:pos="3888"/>
        </w:tabs>
        <w:spacing w:line="240" w:lineRule="auto"/>
        <w:rPr>
          <w:rFonts w:cstheme="majorBidi"/>
          <w:b/>
          <w:bCs/>
          <w:color w:val="000000" w:themeColor="text1"/>
          <w:sz w:val="36"/>
          <w:szCs w:val="36"/>
        </w:rPr>
      </w:pPr>
      <w:r w:rsidRPr="0006340E">
        <w:rPr>
          <w:rFonts w:cstheme="majorBidi"/>
          <w:b/>
          <w:bCs/>
          <w:color w:val="000000" w:themeColor="text1"/>
          <w:sz w:val="36"/>
          <w:szCs w:val="36"/>
          <w:lang w:val="en-GB"/>
        </w:rPr>
        <w:t xml:space="preserve">Effectiveness </w:t>
      </w:r>
      <w:proofErr w:type="gramStart"/>
      <w:r w:rsidRPr="0006340E">
        <w:rPr>
          <w:rFonts w:cstheme="majorBidi"/>
          <w:b/>
          <w:bCs/>
          <w:color w:val="000000" w:themeColor="text1"/>
          <w:sz w:val="36"/>
          <w:szCs w:val="36"/>
          <w:lang w:val="en-GB"/>
        </w:rPr>
        <w:t>Of</w:t>
      </w:r>
      <w:proofErr w:type="gramEnd"/>
      <w:r w:rsidRPr="0006340E">
        <w:rPr>
          <w:rFonts w:cstheme="majorBidi"/>
          <w:b/>
          <w:bCs/>
          <w:color w:val="000000" w:themeColor="text1"/>
          <w:sz w:val="36"/>
          <w:szCs w:val="36"/>
          <w:lang w:val="en-GB"/>
        </w:rPr>
        <w:t xml:space="preserve"> Cardiac Rehabilitation On Clinical Outcomes And Functional Recovery After Myocardial Infarction: A Quasi-Experimental Study</w:t>
      </w:r>
    </w:p>
    <w:p w:rsidR="00E202E9" w:rsidRPr="00BB7230" w:rsidRDefault="0006340E" w:rsidP="007C1877">
      <w:pPr>
        <w:pStyle w:val="Body"/>
        <w:spacing w:before="75" w:after="100"/>
        <w:rPr>
          <w:rFonts w:cstheme="majorBidi"/>
          <w:b/>
          <w:bCs/>
          <w:color w:val="074F6A" w:themeColor="accent4" w:themeShade="80"/>
          <w:sz w:val="24"/>
          <w:szCs w:val="24"/>
        </w:rPr>
      </w:pPr>
      <w:r>
        <w:rPr>
          <w:rFonts w:cstheme="majorBidi"/>
          <w:b/>
          <w:bCs/>
          <w:color w:val="074F6A" w:themeColor="accent4" w:themeShade="80"/>
          <w:sz w:val="24"/>
          <w:szCs w:val="24"/>
        </w:rPr>
        <w:t xml:space="preserve">Dr. </w:t>
      </w:r>
      <w:proofErr w:type="spellStart"/>
      <w:r>
        <w:rPr>
          <w:rFonts w:cstheme="majorBidi"/>
          <w:b/>
          <w:bCs/>
          <w:color w:val="074F6A" w:themeColor="accent4" w:themeShade="80"/>
          <w:sz w:val="24"/>
          <w:szCs w:val="24"/>
        </w:rPr>
        <w:t>Saifa</w:t>
      </w:r>
      <w:proofErr w:type="spellEnd"/>
      <w:r>
        <w:rPr>
          <w:rFonts w:cstheme="majorBidi"/>
          <w:b/>
          <w:bCs/>
          <w:color w:val="074F6A" w:themeColor="accent4" w:themeShade="80"/>
          <w:sz w:val="24"/>
          <w:szCs w:val="24"/>
        </w:rPr>
        <w:t xml:space="preserve"> Zia</w:t>
      </w:r>
      <w:r w:rsidR="007C1877"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06340E" w:rsidRPr="0006340E">
        <w:rPr>
          <w:rFonts w:asciiTheme="minorHAnsi" w:hAnsiTheme="minorHAnsi" w:cstheme="minorBidi"/>
          <w:kern w:val="0"/>
          <w:sz w:val="22"/>
          <w:szCs w:val="22"/>
          <w14:ligatures w14:val="none"/>
        </w:rPr>
        <w:t xml:space="preserve"> </w:t>
      </w:r>
      <w:proofErr w:type="spellStart"/>
      <w:r w:rsidR="0006340E" w:rsidRPr="0006340E">
        <w:rPr>
          <w:rFonts w:cstheme="majorBidi"/>
          <w:color w:val="000000" w:themeColor="text1"/>
          <w:sz w:val="18"/>
          <w:szCs w:val="16"/>
          <w:lang w:val="en-GB"/>
        </w:rPr>
        <w:t>Riphah</w:t>
      </w:r>
      <w:proofErr w:type="spellEnd"/>
      <w:r w:rsidR="0006340E" w:rsidRPr="0006340E">
        <w:rPr>
          <w:rFonts w:cstheme="majorBidi"/>
          <w:color w:val="000000" w:themeColor="text1"/>
          <w:sz w:val="18"/>
          <w:szCs w:val="16"/>
          <w:lang w:val="en-GB"/>
        </w:rPr>
        <w:t xml:space="preserve"> International University, Lahore</w:t>
      </w:r>
      <w:r w:rsidRPr="007C1877">
        <w:rPr>
          <w:rFonts w:cstheme="majorBidi"/>
          <w:color w:val="000000" w:themeColor="text1"/>
          <w:sz w:val="18"/>
          <w:szCs w:val="16"/>
        </w:rPr>
        <w:t>,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A45A9F">
        <w:rPr>
          <w:rFonts w:cstheme="majorBidi"/>
          <w:b/>
          <w:bCs/>
          <w:color w:val="074F6A" w:themeColor="accent4" w:themeShade="80"/>
          <w:sz w:val="18"/>
          <w:szCs w:val="16"/>
          <w:lang w:val="pt-BR"/>
        </w:rPr>
        <w:t>Dr.</w:t>
      </w:r>
      <w:r w:rsidR="00A45A9F" w:rsidRPr="00A45A9F">
        <w:t xml:space="preserve"> </w:t>
      </w:r>
      <w:r w:rsidR="00A45A9F" w:rsidRPr="00A45A9F">
        <w:rPr>
          <w:rFonts w:cstheme="majorBidi"/>
          <w:b/>
          <w:bCs/>
          <w:color w:val="074F6A" w:themeColor="accent4" w:themeShade="80"/>
          <w:sz w:val="18"/>
          <w:szCs w:val="16"/>
          <w:lang w:val="pt-BR"/>
        </w:rPr>
        <w:t xml:space="preserve">Saifa Zia </w:t>
      </w:r>
      <w:proofErr w:type="spellStart"/>
      <w:r w:rsidR="00A45A9F" w:rsidRPr="00A45A9F">
        <w:rPr>
          <w:rFonts w:cstheme="majorBidi"/>
          <w:b/>
          <w:bCs/>
          <w:color w:val="074F6A" w:themeColor="accent4" w:themeShade="80"/>
          <w:sz w:val="18"/>
          <w:szCs w:val="16"/>
          <w:lang w:val="en-GB"/>
        </w:rPr>
        <w:t>saifazia@ymail</w:t>
      </w:r>
      <w:proofErr w:type="spellEnd"/>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A45A9F">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A45A9F">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A45A9F">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31 May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A45A9F">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SZ; Design: SZ; Data Collection: SZ; Analysis: SZ; Drafting: SZ</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proofErr w:type="spellStart"/>
      <w:r w:rsidR="00A45A9F" w:rsidRPr="00A45A9F">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Riphah</w:t>
      </w:r>
      <w:proofErr w:type="spellEnd"/>
      <w:r w:rsidR="00A45A9F" w:rsidRPr="00A45A9F">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 xml:space="preserve"> International University, Lahore</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A45A9F">
      <w:pPr>
        <w:pStyle w:val="Heading1"/>
      </w:pPr>
      <w:r w:rsidRPr="00BB7230">
        <w:t>Abstract</w:t>
      </w:r>
    </w:p>
    <w:p w:rsidR="00A45A9F" w:rsidRPr="00A45A9F" w:rsidRDefault="00A45A9F" w:rsidP="00A45A9F">
      <w:pPr>
        <w:pStyle w:val="Body"/>
      </w:pPr>
      <w:r w:rsidRPr="00A45A9F">
        <w:t xml:space="preserve">Background: Myocardial infarction remains a major cause of morbidity, recurrent hospitalization, impaired functional recovery, and reduced quality of life despite advances in acute cardiovascular management. Cardiac rehabilitation has emerged as an important secondary prevention strategy aimed at improving exercise tolerance, cardiovascular recovery, and long-term clinical outcomes after myocardial infarction. Objective: To evaluate the effectiveness of cardiac rehabilitation on functional recovery and clinical outcomes among patients after myocardial infarction compared with usual care. Methods: A quasi-experimental study was conducted among 94 patients recovering after myocardial infarction, including 47 patients enrolled in cardiac rehabilitation and 47 receiving usual care. Baseline demographic, clinical, and functional characteristics were recorded, including left ventricular ejection fraction, exercise capacity, and cardiovascular comorbidities. Clinical outcomes assessed included poor clinical outcome composite, major adverse cardiovascular events, </w:t>
      </w:r>
      <w:proofErr w:type="spellStart"/>
      <w:r w:rsidRPr="00A45A9F">
        <w:t>rehospitalization</w:t>
      </w:r>
      <w:proofErr w:type="spellEnd"/>
      <w:r w:rsidRPr="00A45A9F">
        <w:t xml:space="preserve">, recurrent angina, arrhythmia, mortality, follow-up exercise capacity, and EQ-VAS health status score. Inferential analysis was performed using odds ratios with 95% confidence intervals and p-values. Results: The mean age of participants was 58.9 ± 10.8 years, and 74.5% were male. Cardiac rehabilitation participation was associated with significantly lower odds of poor clinical outcomes (OR: 0.38; 95% CI: 0.14–0.96; p=0.041) and reduced </w:t>
      </w:r>
      <w:proofErr w:type="spellStart"/>
      <w:r w:rsidRPr="00A45A9F">
        <w:t>rehospitalization</w:t>
      </w:r>
      <w:proofErr w:type="spellEnd"/>
      <w:r w:rsidRPr="00A45A9F">
        <w:t xml:space="preserve"> rates (10.6% </w:t>
      </w:r>
      <w:proofErr w:type="spellStart"/>
      <w:r w:rsidRPr="00A45A9F">
        <w:t>vs</w:t>
      </w:r>
      <w:proofErr w:type="spellEnd"/>
      <w:r w:rsidRPr="00A45A9F">
        <w:t xml:space="preserve"> 27.7%; p=0.032). Rehabilitation participants demonstrated significantly higher follow-up exercise capacity (8.0 ± 1.9 </w:t>
      </w:r>
      <w:proofErr w:type="spellStart"/>
      <w:r w:rsidRPr="00A45A9F">
        <w:t>vs</w:t>
      </w:r>
      <w:proofErr w:type="spellEnd"/>
      <w:r w:rsidRPr="00A45A9F">
        <w:t xml:space="preserve"> 6.2 ± 1.8 METs; p&lt;0.001), improved left ventricular ejection fraction (49.5 ± 11.6% </w:t>
      </w:r>
      <w:proofErr w:type="spellStart"/>
      <w:r w:rsidRPr="00A45A9F">
        <w:t>vs</w:t>
      </w:r>
      <w:proofErr w:type="spellEnd"/>
      <w:r w:rsidRPr="00A45A9F">
        <w:t xml:space="preserve"> 44.1 ± 12.2%; p=0.029), and higher EQ-VAS health status scores (79.8 ± 15.4 </w:t>
      </w:r>
      <w:proofErr w:type="spellStart"/>
      <w:r w:rsidRPr="00A45A9F">
        <w:t>vs</w:t>
      </w:r>
      <w:proofErr w:type="spellEnd"/>
      <w:r w:rsidRPr="00A45A9F">
        <w:t xml:space="preserve"> 68.6 ± 17.2; p=0.004). Improvement in exercise capacity of at least 2 METs independently demonstrated a protective association against adverse outcomes (OR: 0.31; 95% CI: 0.10–0.89; p=0.030). Conclusion: Cardiac rehabilitation after myocardial infarction was associated with improved functional recovery, enhanced quality of life, and lower odds of adverse cardiovascular outcomes compared with usual care. These findings support broader implementation of structured rehabilitation programs as an integral component of secondary prevention after myocardial infarction. Keywords: Cardiac rehabilitation; myocardial infarction; exercise capacity; cardiovascular outcomes; </w:t>
      </w:r>
      <w:proofErr w:type="spellStart"/>
      <w:r w:rsidRPr="00A45A9F">
        <w:t>rehospitalization</w:t>
      </w:r>
      <w:proofErr w:type="spellEnd"/>
      <w:r w:rsidRPr="00A45A9F">
        <w:t>; left ventricular ejection fraction; secondary prevention; quality of life.</w:t>
      </w:r>
    </w:p>
    <w:p w:rsidR="00A45A9F" w:rsidRPr="00A45A9F" w:rsidRDefault="00A45A9F" w:rsidP="00A45A9F">
      <w:pPr>
        <w:pStyle w:val="Body"/>
      </w:pPr>
    </w:p>
    <w:p w:rsidR="00A45A9F" w:rsidRPr="00A45A9F" w:rsidRDefault="00A45A9F" w:rsidP="00A45A9F">
      <w:pPr>
        <w:pStyle w:val="Heading1"/>
      </w:pPr>
      <w:r w:rsidRPr="00A45A9F">
        <w:t>Introduction</w:t>
      </w:r>
    </w:p>
    <w:p w:rsidR="00A45A9F" w:rsidRPr="00A45A9F" w:rsidRDefault="00A45A9F" w:rsidP="00A45A9F">
      <w:pPr>
        <w:pStyle w:val="Body"/>
      </w:pPr>
      <w:r w:rsidRPr="00A45A9F">
        <w:t>Myocardial infarction remains a major cause of morbidity, mortality, functional limitation, and recurrent hospitalization despite advances in acute coronary care, reperfusion therapy, and secondary prevention. Survivors of myocardial infarction frequently experience reduced left ventricular function, impaired exercise tolerance, recurrent angina, psychological distress, and diminished health-related quality of life, all of which may increase the risk of adverse cardiovascular outcomes after discharge. Cardiac rehabilitation has therefore become an essential component of post-myocardial infarction care because it combines supervised exercise training, risk-factor modification, medication adherence support, lifestyle counseling, and patient education to improve functional recovery and reduce future cardiovascular risk (1).</w:t>
      </w:r>
    </w:p>
    <w:p w:rsidR="00A45A9F" w:rsidRPr="00A45A9F" w:rsidRDefault="00A45A9F" w:rsidP="00A45A9F">
      <w:pPr>
        <w:pStyle w:val="Body"/>
      </w:pPr>
      <w:r w:rsidRPr="00A45A9F">
        <w:t xml:space="preserve">Evidence from previous studies indicates that cardiac rehabilitation is associated with improved exercise capacity, better quality of life, enhanced </w:t>
      </w:r>
      <w:proofErr w:type="spellStart"/>
      <w:r w:rsidRPr="00A45A9F">
        <w:t>cardiometabolic</w:t>
      </w:r>
      <w:proofErr w:type="spellEnd"/>
      <w:r w:rsidRPr="00A45A9F">
        <w:t xml:space="preserve"> risk control, and reduced </w:t>
      </w:r>
      <w:proofErr w:type="spellStart"/>
      <w:r w:rsidRPr="00A45A9F">
        <w:t>rehospitalization</w:t>
      </w:r>
      <w:proofErr w:type="spellEnd"/>
      <w:r w:rsidRPr="00A45A9F">
        <w:t xml:space="preserve"> after myocardial infarction (2–6). Exercise-based rehabilitation may improve cardiovascular recovery through favorable effects on </w:t>
      </w:r>
      <w:r w:rsidRPr="00A45A9F">
        <w:lastRenderedPageBreak/>
        <w:t>endothelial function, autonomic balance, skeletal muscle conditioning, ventricular remodeling, and adherence to guideline-directed therapy. Meta-analytic and observational evidence has also suggested potential benefits in recurrence, readmission, revascularization, and mortality outcomes among patients recovering from acute myocardial infarction (7–9). However, despite its recognized clinical value, cardiac rehabilitation remains underutilized, and adherence varies substantially across patients, healthcare systems, and rehabilitation settings (10).</w:t>
      </w:r>
    </w:p>
    <w:p w:rsidR="00A45A9F" w:rsidRPr="00A45A9F" w:rsidRDefault="00A45A9F" w:rsidP="00A45A9F">
      <w:pPr>
        <w:pStyle w:val="Body"/>
      </w:pPr>
      <w:r w:rsidRPr="00A45A9F">
        <w:t xml:space="preserve">Although international evidence supports cardiac rehabilitation after myocardial infarction, important gaps remain regarding its effectiveness in real-world clinical populations where patients often present with multiple comorbidities, reduced baseline left ventricular ejection fraction, variable revascularization status, and inconsistent participation in supervised rehabilitation sessions. In particular, limited quasi-experimental evidence is available on whether participation in cardiac rehabilitation is associated with improved functional recovery and lower odds of poor clinical outcomes when compared with usual care in routine post-myocardial infarction practice. This gap is clinically important because post-discharge rehabilitation decisions must be based not only on survival outcomes but also on measurable improvements in exercise capacity, cardiac function, </w:t>
      </w:r>
      <w:proofErr w:type="spellStart"/>
      <w:r w:rsidRPr="00A45A9F">
        <w:t>rehospitalization</w:t>
      </w:r>
      <w:proofErr w:type="spellEnd"/>
      <w:r w:rsidRPr="00A45A9F">
        <w:t xml:space="preserve"> risk, and patient-reported health status.</w:t>
      </w:r>
    </w:p>
    <w:p w:rsidR="00A45A9F" w:rsidRPr="00A45A9F" w:rsidRDefault="00A45A9F" w:rsidP="00A45A9F">
      <w:pPr>
        <w:pStyle w:val="Body"/>
      </w:pPr>
      <w:r w:rsidRPr="00A45A9F">
        <w:t xml:space="preserve">Therefore, this study aimed to evaluate the effectiveness of cardiac rehabilitation on clinical outcomes and functional recovery among patients after myocardial infarction. The study compared patients receiving cardiac rehabilitation with those receiving usual care and assessed outcomes including poor clinical outcome composite, major adverse cardiovascular events, </w:t>
      </w:r>
      <w:proofErr w:type="spellStart"/>
      <w:r w:rsidRPr="00A45A9F">
        <w:t>rehospitalization</w:t>
      </w:r>
      <w:proofErr w:type="spellEnd"/>
      <w:r w:rsidRPr="00A45A9F">
        <w:t>, recurrent angina, arrhythmia, mortality, follow-up left ventricular ejection fraction, exercise capacity, and health status. The primary research hypothesis was that participation in cardiac rehabilitation after myocardial infarction would be associated with improved functional recovery and reduced odds of poor clinical outcomes compared with usual care.</w:t>
      </w:r>
    </w:p>
    <w:p w:rsidR="00A45A9F" w:rsidRPr="00A45A9F" w:rsidRDefault="00A45A9F" w:rsidP="00A45A9F">
      <w:pPr>
        <w:pStyle w:val="Heading1"/>
      </w:pPr>
      <w:r w:rsidRPr="00A45A9F">
        <w:t>Material and methods</w:t>
      </w:r>
    </w:p>
    <w:p w:rsidR="00A45A9F" w:rsidRPr="00A45A9F" w:rsidRDefault="00A45A9F" w:rsidP="00A45A9F">
      <w:pPr>
        <w:pStyle w:val="Body"/>
      </w:pPr>
      <w:r w:rsidRPr="00A45A9F">
        <w:t xml:space="preserve">A quasi-experimental study was conducted to evaluate the effectiveness of cardiac rehabilitation on clinical outcomes and functional recovery among patients after myocardial infarction. The study included 94 post-myocardial infarction patients, with 47 participants allocated to the cardiac rehabilitation group and 47 participants receiving usual care. This design was selected because it allowed comparison of outcomes between patients exposed to a structured rehabilitation intervention and those receiving standard post-myocardial infarction management in a real-world clinical setting where random allocation was not applied. The study population consisted of adult patients recovering after an index myocardial infarction, with enrollment occurring at a median of 14 days after the acute event. Baseline assessment included demographic characteristics, clinical history, cardiovascular risk factors, left ventricular ejection fraction, baseline exercise capacity, and 6-minute walk distance. </w:t>
      </w:r>
    </w:p>
    <w:p w:rsidR="00A45A9F" w:rsidRPr="00A45A9F" w:rsidRDefault="00A45A9F" w:rsidP="00A45A9F">
      <w:pPr>
        <w:pStyle w:val="Body"/>
      </w:pPr>
      <w:r w:rsidRPr="00A45A9F">
        <w:t>Participants were eligible if they had a confirmed diagnosis of myocardial infarction, were clinically stable after acute management, and were able to participate in follow-up assessment of cardiac function and exercise capacity. Patients were excluded if they had unstable cardiovascular status, severe functional limitation preventing exercise assessment, incomplete baseline data, or inability to complete follow-up evaluation. Participants were selected using a consecutive clinical sampling approach and were assigned according to receipt of cardiac rehabilitation or usual care. Written informed consent was obtained before enrollment, and confidentiality of all clinical and research data was maintained throughout the study.</w:t>
      </w:r>
    </w:p>
    <w:p w:rsidR="00A45A9F" w:rsidRPr="00A45A9F" w:rsidRDefault="00A45A9F" w:rsidP="00A45A9F">
      <w:pPr>
        <w:pStyle w:val="Body"/>
      </w:pPr>
      <w:r w:rsidRPr="00A45A9F">
        <w:t xml:space="preserve">The intervention group received cardiac rehabilitation after myocardial infarction, while the comparison group continued usual post-myocardial infarction care. Cardiac rehabilitation participation was treated as the primary exposure variable. Rehabilitation adherence was operationally defined as completion of at least 75% of prescribed rehabilitation sessions. Usual care included routine clinical follow-up and pharmacological management according to treating physician recommendations. Baseline clinical variables included age, sex, body mass index, smoking status, time from index myocardial infarction to enrollment, baseline left ventricular ejection fraction, baseline exercise capacity in metabolic equivalents, and 6-minute walk distance. Comorbid variables included hypertension, diabetes mellitus, dyslipidemia, prior myocardial infarction, chronic kidney disease, left ventricular dysfunction defined as left ventricular ejection fraction below 40%, revascularization during the index admission, and antithrombotic therapy at follow-up. </w:t>
      </w:r>
    </w:p>
    <w:p w:rsidR="00A45A9F" w:rsidRPr="00A45A9F" w:rsidRDefault="00A45A9F" w:rsidP="00A45A9F">
      <w:pPr>
        <w:pStyle w:val="Body"/>
      </w:pPr>
      <w:r w:rsidRPr="00A45A9F">
        <w:lastRenderedPageBreak/>
        <w:t xml:space="preserve">The primary outcome was poor clinical outcome composite after myocardial infarction. Secondary outcomes included major adverse cardiovascular events, all-cause </w:t>
      </w:r>
      <w:proofErr w:type="spellStart"/>
      <w:r w:rsidRPr="00A45A9F">
        <w:t>rehospitalization</w:t>
      </w:r>
      <w:proofErr w:type="spellEnd"/>
      <w:r w:rsidRPr="00A45A9F">
        <w:t xml:space="preserve">, recurrent angina, documented arrhythmia, all-cause mortality, follow-up left ventricular ejection fraction, follow-up exercise capacity, EQ-VAS health status score, and improvement in exercise capacity of at least 2 METs. Functional recovery was assessed using change in exercise capacity and follow-up functional status, while cardiac recovery was assessed using follow-up left ventricular ejection fraction. Poor clinical outcome was analyzed in relation to rehabilitation participation, improvement in exercise capacity, left ventricular dysfunction, diabetes mellitus, </w:t>
      </w:r>
      <w:proofErr w:type="gramStart"/>
      <w:r w:rsidRPr="00A45A9F">
        <w:t>revascularization</w:t>
      </w:r>
      <w:proofErr w:type="gramEnd"/>
      <w:r w:rsidRPr="00A45A9F">
        <w:t xml:space="preserve"> during index admission, and antithrombotic therapy at follow-up. </w:t>
      </w:r>
    </w:p>
    <w:p w:rsidR="00A45A9F" w:rsidRPr="00A45A9F" w:rsidRDefault="00A45A9F" w:rsidP="00A45A9F">
      <w:pPr>
        <w:pStyle w:val="Body"/>
      </w:pPr>
      <w:r w:rsidRPr="00A45A9F">
        <w:t>To reduce measurement bias, baseline and follow-up variables were defined before analysis using consistent operational criteria. Potential confounding was addressed by evaluating clinically relevant predictors of poor outcome, including left ventricular dysfunction, diabetes mellitus, revascularization status, and antithrombotic therapy. The sample size consisted of 94 patients, equally distributed between rehabilitation and usual-care groups, which provided balanced comparison groups for estimating associations between cardiac rehabilitation participation and clinical outcomes. Data integrity was supported through complete tabulation of demographic, clinical, functional, and inferential variables before final analysis.</w:t>
      </w:r>
    </w:p>
    <w:p w:rsidR="00A45A9F" w:rsidRPr="00A45A9F" w:rsidRDefault="00A45A9F" w:rsidP="00A45A9F">
      <w:pPr>
        <w:pStyle w:val="Body"/>
      </w:pPr>
      <w:r w:rsidRPr="00A45A9F">
        <w:t>Statistical analysis was performed using descriptive and inferential methods. Continuous variables were summarized as mean ± standard deviation or median with interquartile range according to distribution, while categorical variables were summarized as frequencies and percentages. Associations with poor clinical outcome were examined using odds ratios with 95% confidence intervals and p-values. A p-value below 0.05 was considered statistically significant. Cardiac rehabilitation participation, improvement in exercise capacity of at least 2 METs, left ventricular ejection fraction below 40%, diabetes mellitus, revascularization during index admission, and antithrombotic therapy at follow-up were included as clinically relevant predictors. Findings were interpreted using effect estimates and confidence intervals rather than statistical significance alone. The study was conducted in accordance with ethical principles for human-subject research, with informed consent obtained from participants and all data handled confidentially.</w:t>
      </w:r>
    </w:p>
    <w:p w:rsidR="00A45A9F" w:rsidRPr="00A45A9F" w:rsidRDefault="00A45A9F" w:rsidP="00A45A9F">
      <w:pPr>
        <w:pStyle w:val="Heading1"/>
      </w:pPr>
      <w:r w:rsidRPr="00A45A9F">
        <w:t>Results</w:t>
      </w:r>
    </w:p>
    <w:p w:rsidR="00A45A9F" w:rsidRPr="00A45A9F" w:rsidRDefault="00A45A9F" w:rsidP="00A45A9F">
      <w:pPr>
        <w:pStyle w:val="Body"/>
      </w:pPr>
      <w:r w:rsidRPr="00A45A9F">
        <w:t xml:space="preserve">A total of 94 patients recovering after myocardial infarction were included in the study, with 47 participants allocated to the cardiac rehabilitation group and 47 participants receiving usual care. The overall mean age of the study population was 58.9 ± 10.8 years, and males constituted 74.5% of participants. The mean body mass index was 27.6 ± 4.1 kg/m², while 33.0% of participants were current smokers. The median time from index myocardial infarction to enrollment was 14.0 days (IQR: 9.0–21.0). Baseline left ventricular ejection fraction was 43.8 ± 12.6%, baseline exercise capacity was 5.6 ± 1.8 METs, and the mean 6-minute walk distance was 382 ± 86 meters (Table 1). </w:t>
      </w:r>
    </w:p>
    <w:p w:rsidR="00A45A9F" w:rsidRPr="00A45A9F" w:rsidRDefault="00A45A9F" w:rsidP="00A45A9F">
      <w:pPr>
        <w:pStyle w:val="Caption"/>
      </w:pPr>
      <w:r w:rsidRPr="00A45A9F">
        <w:t>Table 1. Baseline Demographic and Clinical Characteristics of Study Participants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902"/>
        <w:gridCol w:w="1325"/>
        <w:gridCol w:w="2547"/>
        <w:gridCol w:w="1594"/>
        <w:gridCol w:w="659"/>
      </w:tblGrid>
      <w:tr w:rsidR="00A45A9F" w:rsidRPr="00A45A9F" w:rsidTr="00A45A9F">
        <w:trPr>
          <w:tblHeader/>
          <w:tblCellSpacing w:w="0" w:type="dxa"/>
        </w:trPr>
        <w:tc>
          <w:tcPr>
            <w:tcW w:w="1607"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Variable</w:t>
            </w:r>
          </w:p>
        </w:tc>
        <w:tc>
          <w:tcPr>
            <w:tcW w:w="734"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Total (n=94)</w:t>
            </w:r>
          </w:p>
        </w:tc>
        <w:tc>
          <w:tcPr>
            <w:tcW w:w="1411"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Cardiac Rehabilitation (n=47)</w:t>
            </w:r>
          </w:p>
        </w:tc>
        <w:tc>
          <w:tcPr>
            <w:tcW w:w="883"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Usual Care (n=47)</w:t>
            </w:r>
          </w:p>
        </w:tc>
        <w:tc>
          <w:tcPr>
            <w:tcW w:w="366"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p-value</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Age, years (Mean ± SD)</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58.9 ± 10.8</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57.8 ± 10.2</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60.1 ± 11.3</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0.312</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Male sex, n (%)</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70 (74.5)</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36 (76.6)</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34 (72.3)</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0.641</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Female sex, n (%)</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24 (25.5)</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11 (23.4)</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13 (27.7)</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0.641</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Body mass index, kg/m²</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27.6 ± 4.1</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27.2 ± 4.0</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28.0 ± 4.2</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0.381</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Current smoker, n (%)</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31 (33.0)</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14 (29.8)</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17 (36.2)</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0.511</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Time from MI to enrollment, days</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14.0 [9.0–21.0]</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13.0 [8.0–20.0]</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15.0 [10.0–22.0]</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0.294</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Baseline LVEF, %</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43.8 ± 12.6</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44.6 ± 12.1</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43.0 ± 13.0</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0.552</w:t>
            </w:r>
          </w:p>
        </w:tc>
      </w:tr>
      <w:tr w:rsidR="00A45A9F" w:rsidRPr="00A45A9F" w:rsidTr="00A45A9F">
        <w:trPr>
          <w:tblCellSpacing w:w="0" w:type="dxa"/>
        </w:trPr>
        <w:tc>
          <w:tcPr>
            <w:tcW w:w="1607"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Baseline exercise capacity, METs</w:t>
            </w:r>
          </w:p>
        </w:tc>
        <w:tc>
          <w:tcPr>
            <w:tcW w:w="73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5.6 ± 1.8</w:t>
            </w:r>
          </w:p>
        </w:tc>
        <w:tc>
          <w:tcPr>
            <w:tcW w:w="1411"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5.8 ± 1.7</w:t>
            </w:r>
          </w:p>
        </w:tc>
        <w:tc>
          <w:tcPr>
            <w:tcW w:w="88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5.4 ± 1.9</w:t>
            </w:r>
          </w:p>
        </w:tc>
        <w:tc>
          <w:tcPr>
            <w:tcW w:w="36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0.276</w:t>
            </w:r>
          </w:p>
        </w:tc>
      </w:tr>
      <w:tr w:rsidR="00A45A9F" w:rsidRPr="00A45A9F" w:rsidTr="00A45A9F">
        <w:trPr>
          <w:tblCellSpacing w:w="0" w:type="dxa"/>
        </w:trPr>
        <w:tc>
          <w:tcPr>
            <w:tcW w:w="1607"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6-minute walk distance, meters</w:t>
            </w:r>
          </w:p>
        </w:tc>
        <w:tc>
          <w:tcPr>
            <w:tcW w:w="734"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382 ± 86</w:t>
            </w:r>
          </w:p>
        </w:tc>
        <w:tc>
          <w:tcPr>
            <w:tcW w:w="1411"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389 ± 82</w:t>
            </w:r>
          </w:p>
        </w:tc>
        <w:tc>
          <w:tcPr>
            <w:tcW w:w="883"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375 ± 90</w:t>
            </w:r>
          </w:p>
        </w:tc>
        <w:tc>
          <w:tcPr>
            <w:tcW w:w="366"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0.418</w:t>
            </w:r>
          </w:p>
        </w:tc>
      </w:tr>
    </w:tbl>
    <w:p w:rsidR="00A45A9F" w:rsidRPr="00A45A9F" w:rsidRDefault="00A45A9F" w:rsidP="00A45A9F">
      <w:pPr>
        <w:pStyle w:val="Body"/>
      </w:pPr>
      <w:r w:rsidRPr="00A45A9F">
        <w:t xml:space="preserve">Patients demonstrated a substantial burden of cardiovascular comorbidities. Hypertension was present in 57.4% of participants, dyslipidemia in 52.1%, and diabetes mellitus in 36.2%. Left ventricular dysfunction with ejection fraction below 40% was identified in 38.3% of patients. Revascularization during the index admission was performed in 66.0% of participants, while 77.7% remained on antithrombotic therapy during follow-up. Among the total cohort, 41.5% completed at least 75% of rehabilitation sessions, and 34.0% achieved an improvement in exercise capacity of at least 2 METs (Table 2). </w:t>
      </w:r>
    </w:p>
    <w:p w:rsidR="00A45A9F" w:rsidRPr="00A45A9F" w:rsidRDefault="00A45A9F" w:rsidP="00A45A9F">
      <w:pPr>
        <w:pStyle w:val="Caption"/>
      </w:pPr>
      <w:r w:rsidRPr="00A45A9F">
        <w:t>Table 2. Clinical Comorbidities and Study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597"/>
        <w:gridCol w:w="955"/>
        <w:gridCol w:w="2380"/>
        <w:gridCol w:w="1452"/>
        <w:gridCol w:w="643"/>
      </w:tblGrid>
      <w:tr w:rsidR="00A45A9F" w:rsidRPr="00A45A9F" w:rsidTr="00A45A9F">
        <w:trPr>
          <w:tblHeader/>
          <w:tblCellSpacing w:w="0" w:type="dxa"/>
        </w:trPr>
        <w:tc>
          <w:tcPr>
            <w:tcW w:w="1993"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Variable</w:t>
            </w:r>
          </w:p>
        </w:tc>
        <w:tc>
          <w:tcPr>
            <w:tcW w:w="529"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Total n (%)</w:t>
            </w:r>
          </w:p>
        </w:tc>
        <w:tc>
          <w:tcPr>
            <w:tcW w:w="1318"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Cardiac Rehabilitation n (%)</w:t>
            </w:r>
          </w:p>
        </w:tc>
        <w:tc>
          <w:tcPr>
            <w:tcW w:w="804"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Usual Care n (%)</w:t>
            </w:r>
          </w:p>
        </w:tc>
        <w:tc>
          <w:tcPr>
            <w:tcW w:w="356"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p-value</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Hypertension</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54 (57.4)</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26 (55.3)</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28 (59.6)</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0.674</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lastRenderedPageBreak/>
              <w:t>Diabetes mellitus</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34 (36.2)</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15 (31.9)</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19 (40.4)</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0.392</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Dyslipidemia</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49 (52.1)</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25 (53.2)</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24 (51.1)</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0.838</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Prior myocardial infarction</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13 (13.8)</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 (12.8)</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7 (14.9)</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0.764</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Chronic kidney disease</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10 (10.6)</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 (8.5)</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 (12.8)</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0.505</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LVEF &lt;40%</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36 (38.3)</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16 (34.0)</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20 (42.6)</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0.392</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Revascularization during index admission</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62 (66.0)</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33 (70.2)</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29 (61.7)</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0.384</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Antithrombotic therapy at follow-up</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73 (77.7)</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38 (80.9)</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35 (74.5)</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0.456</w:t>
            </w:r>
          </w:p>
        </w:tc>
      </w:tr>
      <w:tr w:rsidR="00A45A9F" w:rsidRPr="00A45A9F" w:rsidTr="00A45A9F">
        <w:trPr>
          <w:tblCellSpacing w:w="0" w:type="dxa"/>
        </w:trPr>
        <w:tc>
          <w:tcPr>
            <w:tcW w:w="1993"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Completed ≥75% rehabilitation sessions</w:t>
            </w:r>
          </w:p>
        </w:tc>
        <w:tc>
          <w:tcPr>
            <w:tcW w:w="529"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39 (41.5)</w:t>
            </w:r>
          </w:p>
        </w:tc>
        <w:tc>
          <w:tcPr>
            <w:tcW w:w="131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39 (83.0)</w:t>
            </w:r>
          </w:p>
        </w:tc>
        <w:tc>
          <w:tcPr>
            <w:tcW w:w="804"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w:t>
            </w:r>
          </w:p>
        </w:tc>
        <w:tc>
          <w:tcPr>
            <w:tcW w:w="35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&lt;0.001</w:t>
            </w:r>
          </w:p>
        </w:tc>
      </w:tr>
      <w:tr w:rsidR="00A45A9F" w:rsidRPr="00A45A9F" w:rsidTr="00A45A9F">
        <w:trPr>
          <w:tblCellSpacing w:w="0" w:type="dxa"/>
        </w:trPr>
        <w:tc>
          <w:tcPr>
            <w:tcW w:w="1993"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Improvement in exercise capacity ≥2 METs</w:t>
            </w:r>
          </w:p>
        </w:tc>
        <w:tc>
          <w:tcPr>
            <w:tcW w:w="529"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32 (34.0)</w:t>
            </w:r>
          </w:p>
        </w:tc>
        <w:tc>
          <w:tcPr>
            <w:tcW w:w="1318"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24 (51.1)</w:t>
            </w:r>
          </w:p>
        </w:tc>
        <w:tc>
          <w:tcPr>
            <w:tcW w:w="804"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8 (17.0)</w:t>
            </w:r>
          </w:p>
        </w:tc>
        <w:tc>
          <w:tcPr>
            <w:tcW w:w="356"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0.001</w:t>
            </w:r>
          </w:p>
        </w:tc>
      </w:tr>
    </w:tbl>
    <w:p w:rsidR="00A45A9F" w:rsidRPr="00A45A9F" w:rsidRDefault="00A45A9F" w:rsidP="00A45A9F">
      <w:pPr>
        <w:pStyle w:val="Body"/>
      </w:pPr>
      <w:r w:rsidRPr="00A45A9F">
        <w:t xml:space="preserve">Clinical outcomes after myocardial infarction demonstrated meaningful differences in functional recovery and cardiovascular prognosis. Poor clinical outcome composite occurred in 21.3% of patients, while major adverse cardiovascular events were observed in 13.8%. All-cause </w:t>
      </w:r>
      <w:proofErr w:type="spellStart"/>
      <w:r w:rsidRPr="00A45A9F">
        <w:t>rehospitalization</w:t>
      </w:r>
      <w:proofErr w:type="spellEnd"/>
      <w:r w:rsidRPr="00A45A9F">
        <w:t xml:space="preserve"> occurred in 19.1%, recurrent angina in 17.0%, documented arrhythmia in 11.7%, and all-cause mortality in 5.3% of participants. Follow-up left ventricular ejection fraction improved to 46.8 ± 12.1%, while follow-up exercise capacity increased to 7.1 ± 2.0 METs. Mean EQ-VAS health status score at follow-up was 74.2 ± 17.1 (Table 3). Patients participating in cardiac rehabilitation demonstrated lower frequencies of adverse cardiovascular outcomes and greater improvements in exercise capacity compared with usual-care participants. </w:t>
      </w:r>
    </w:p>
    <w:p w:rsidR="00A45A9F" w:rsidRPr="00A45A9F" w:rsidRDefault="00A45A9F" w:rsidP="00A45A9F">
      <w:pPr>
        <w:pStyle w:val="Caption"/>
      </w:pPr>
      <w:r w:rsidRPr="00A45A9F">
        <w:t>Table 3. Clinical Outcomes According to Study Group</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976"/>
        <w:gridCol w:w="843"/>
        <w:gridCol w:w="1684"/>
        <w:gridCol w:w="843"/>
        <w:gridCol w:w="2058"/>
        <w:gridCol w:w="623"/>
      </w:tblGrid>
      <w:tr w:rsidR="00A45A9F" w:rsidRPr="00A45A9F" w:rsidTr="00A45A9F">
        <w:trPr>
          <w:tblHeader/>
          <w:tblCellSpacing w:w="0" w:type="dxa"/>
        </w:trPr>
        <w:tc>
          <w:tcPr>
            <w:tcW w:w="1648"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Outcome</w:t>
            </w:r>
          </w:p>
        </w:tc>
        <w:tc>
          <w:tcPr>
            <w:tcW w:w="467"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Total</w:t>
            </w:r>
          </w:p>
        </w:tc>
        <w:tc>
          <w:tcPr>
            <w:tcW w:w="933"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Cardiac Rehabilitation</w:t>
            </w:r>
          </w:p>
        </w:tc>
        <w:tc>
          <w:tcPr>
            <w:tcW w:w="467"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Usual Care</w:t>
            </w:r>
          </w:p>
        </w:tc>
        <w:tc>
          <w:tcPr>
            <w:tcW w:w="1140"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Effect Estimate</w:t>
            </w:r>
          </w:p>
        </w:tc>
        <w:tc>
          <w:tcPr>
            <w:tcW w:w="345"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p-value</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Poor clinical outcome composite, n (%)</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20 (21.3)</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 (12.8)</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14 (29.8)</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0.35 (95% CI: 0.12–0.94)</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0.038</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Major adverse cardiovascular event, n (%)</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13 (13.8)</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 (8.5)</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9 (19.1)</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0.39 (95% CI: 0.10–1.21)</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0.098</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 xml:space="preserve">All-cause </w:t>
            </w:r>
            <w:proofErr w:type="spellStart"/>
            <w:r w:rsidRPr="00A45A9F">
              <w:rPr>
                <w:b/>
                <w:color w:val="000000"/>
                <w:sz w:val="16"/>
              </w:rPr>
              <w:t>rehospitalization</w:t>
            </w:r>
            <w:proofErr w:type="spellEnd"/>
            <w:r w:rsidRPr="00A45A9F">
              <w:rPr>
                <w:b/>
                <w:color w:val="000000"/>
                <w:sz w:val="16"/>
              </w:rPr>
              <w:t>, n (%)</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18 (19.1)</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 (10.6)</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13 (27.7)</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0.31 (95% CI: 0.10–0.90)</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0.032</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Recurrent angina, n (%)</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16 (17.0)</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 (10.6)</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11 (23.4)</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0.39 (95% CI: 0.12–1.14)</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0.084</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Documented arrhythmia, n (%)</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11 (11.7)</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 (6.4)</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8 (17.0)</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0.33 (95% CI: 0.08–1.22)</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0.117</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All-cause mortality, n (%)</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5 (5.3)</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 (2.1)</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 (8.5)</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0.23 (95% CI: 0.02–1.98)</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0.182</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Follow-up LVEF, % (Mean ± SD)</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46.8 ± 12.1</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49.5 ± 11.6</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44.1 ± 12.2</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Mean difference 5.4%</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0.029</w:t>
            </w:r>
          </w:p>
        </w:tc>
      </w:tr>
      <w:tr w:rsidR="00A45A9F" w:rsidRPr="00A45A9F" w:rsidTr="00A45A9F">
        <w:trPr>
          <w:tblCellSpacing w:w="0" w:type="dxa"/>
        </w:trPr>
        <w:tc>
          <w:tcPr>
            <w:tcW w:w="1648"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Follow-up exercise capacity, METs</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7.1 ± 2.0</w:t>
            </w:r>
          </w:p>
        </w:tc>
        <w:tc>
          <w:tcPr>
            <w:tcW w:w="933"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8.0 ± 1.9</w:t>
            </w:r>
          </w:p>
        </w:tc>
        <w:tc>
          <w:tcPr>
            <w:tcW w:w="467"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6.2 ± 1.8</w:t>
            </w:r>
          </w:p>
        </w:tc>
        <w:tc>
          <w:tcPr>
            <w:tcW w:w="114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Mean difference 1.8 METs</w:t>
            </w:r>
          </w:p>
        </w:tc>
        <w:tc>
          <w:tcPr>
            <w:tcW w:w="34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&lt;0.001</w:t>
            </w:r>
          </w:p>
        </w:tc>
      </w:tr>
      <w:tr w:rsidR="00A45A9F" w:rsidRPr="00A45A9F" w:rsidTr="00A45A9F">
        <w:trPr>
          <w:tblCellSpacing w:w="0" w:type="dxa"/>
        </w:trPr>
        <w:tc>
          <w:tcPr>
            <w:tcW w:w="1648"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EQ-VAS health status score</w:t>
            </w:r>
          </w:p>
        </w:tc>
        <w:tc>
          <w:tcPr>
            <w:tcW w:w="467"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74.2 ± 17.1</w:t>
            </w:r>
          </w:p>
        </w:tc>
        <w:tc>
          <w:tcPr>
            <w:tcW w:w="933"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79.8 ± 15.4</w:t>
            </w:r>
          </w:p>
        </w:tc>
        <w:tc>
          <w:tcPr>
            <w:tcW w:w="467"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68.6 ± 17.2</w:t>
            </w:r>
          </w:p>
        </w:tc>
        <w:tc>
          <w:tcPr>
            <w:tcW w:w="1140"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Mean difference 11.2</w:t>
            </w:r>
          </w:p>
        </w:tc>
        <w:tc>
          <w:tcPr>
            <w:tcW w:w="345"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0.004</w:t>
            </w:r>
          </w:p>
        </w:tc>
      </w:tr>
    </w:tbl>
    <w:p w:rsidR="00A45A9F" w:rsidRPr="00A45A9F" w:rsidRDefault="00A45A9F" w:rsidP="00A45A9F">
      <w:pPr>
        <w:pStyle w:val="Body"/>
      </w:pPr>
      <w:r w:rsidRPr="00A45A9F">
        <w:t xml:space="preserve">Inferential analysis identified several predictors associated with poor clinical outcomes after myocardial infarction. Participation in cardiac rehabilitation was independently associated with significantly lower odds of poor clinical outcome (OR: 0.38; 95% CI: 0.14–0.96; p=0.041). Improvement in exercise capacity of at least 2 METs also demonstrated a protective association (OR: 0.31; 95% CI: 0.10–0.89; p=0.030). In contrast, left ventricular dysfunction with ejection fraction below 40% was associated with significantly higher odds of adverse outcomes (OR: 2.74; 95% CI: 1.04–7.21; p=0.042). Diabetes mellitus and reduced antithrombotic therapy adherence demonstrated directionally unfavorable associations but did not achieve statistical significance (Table 4). </w:t>
      </w:r>
    </w:p>
    <w:p w:rsidR="00A45A9F" w:rsidRPr="00A45A9F" w:rsidRDefault="00A45A9F" w:rsidP="00A45A9F">
      <w:pPr>
        <w:pStyle w:val="Caption"/>
      </w:pPr>
      <w:r w:rsidRPr="00A45A9F">
        <w:t xml:space="preserve">Table 4. Predictors of Poor Clinical Outcome </w:t>
      </w:r>
      <w:proofErr w:type="gramStart"/>
      <w:r w:rsidRPr="00A45A9F">
        <w:t>After</w:t>
      </w:r>
      <w:proofErr w:type="gramEnd"/>
      <w:r w:rsidRPr="00A45A9F">
        <w:t xml:space="preserve"> Myocardial Infarction</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597"/>
        <w:gridCol w:w="236"/>
        <w:gridCol w:w="1278"/>
        <w:gridCol w:w="845"/>
        <w:gridCol w:w="641"/>
        <w:gridCol w:w="2430"/>
      </w:tblGrid>
      <w:tr w:rsidR="00A45A9F" w:rsidRPr="00A45A9F" w:rsidTr="00A45A9F">
        <w:trPr>
          <w:tblHeader/>
          <w:tblCellSpacing w:w="0" w:type="dxa"/>
        </w:trPr>
        <w:tc>
          <w:tcPr>
            <w:tcW w:w="1992"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Predictor</w:t>
            </w:r>
          </w:p>
        </w:tc>
        <w:tc>
          <w:tcPr>
            <w:tcW w:w="130"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n</w:t>
            </w:r>
          </w:p>
        </w:tc>
        <w:tc>
          <w:tcPr>
            <w:tcW w:w="708"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Effect Measure</w:t>
            </w:r>
          </w:p>
        </w:tc>
        <w:tc>
          <w:tcPr>
            <w:tcW w:w="468"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95% CI</w:t>
            </w:r>
          </w:p>
        </w:tc>
        <w:tc>
          <w:tcPr>
            <w:tcW w:w="355"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p-value</w:t>
            </w:r>
          </w:p>
        </w:tc>
        <w:tc>
          <w:tcPr>
            <w:tcW w:w="1346" w:type="pct"/>
            <w:tcBorders>
              <w:top w:val="single" w:sz="4" w:space="0" w:color="auto"/>
              <w:bottom w:val="single" w:sz="4" w:space="0" w:color="000000"/>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Interpretation</w:t>
            </w:r>
          </w:p>
        </w:tc>
      </w:tr>
      <w:tr w:rsidR="00A45A9F" w:rsidRPr="00A45A9F" w:rsidTr="00A45A9F">
        <w:trPr>
          <w:tblCellSpacing w:w="0" w:type="dxa"/>
        </w:trPr>
        <w:tc>
          <w:tcPr>
            <w:tcW w:w="1992"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Cardiac rehabilitation participation</w:t>
            </w:r>
          </w:p>
        </w:tc>
        <w:tc>
          <w:tcPr>
            <w:tcW w:w="13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47</w:t>
            </w:r>
          </w:p>
        </w:tc>
        <w:tc>
          <w:tcPr>
            <w:tcW w:w="70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0.38</w:t>
            </w:r>
          </w:p>
        </w:tc>
        <w:tc>
          <w:tcPr>
            <w:tcW w:w="46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0.14–0.96</w:t>
            </w:r>
          </w:p>
        </w:tc>
        <w:tc>
          <w:tcPr>
            <w:tcW w:w="35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0.041</w:t>
            </w:r>
          </w:p>
        </w:tc>
        <w:tc>
          <w:tcPr>
            <w:tcW w:w="134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Lower odds of poor outcome</w:t>
            </w:r>
          </w:p>
        </w:tc>
      </w:tr>
      <w:tr w:rsidR="00A45A9F" w:rsidRPr="00A45A9F" w:rsidTr="00A45A9F">
        <w:trPr>
          <w:tblCellSpacing w:w="0" w:type="dxa"/>
        </w:trPr>
        <w:tc>
          <w:tcPr>
            <w:tcW w:w="1992"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Improvement in exercise capacity ≥2 METs</w:t>
            </w:r>
          </w:p>
        </w:tc>
        <w:tc>
          <w:tcPr>
            <w:tcW w:w="13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32</w:t>
            </w:r>
          </w:p>
        </w:tc>
        <w:tc>
          <w:tcPr>
            <w:tcW w:w="70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0.31</w:t>
            </w:r>
          </w:p>
        </w:tc>
        <w:tc>
          <w:tcPr>
            <w:tcW w:w="46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0.10–0.89</w:t>
            </w:r>
          </w:p>
        </w:tc>
        <w:tc>
          <w:tcPr>
            <w:tcW w:w="35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0.030</w:t>
            </w:r>
          </w:p>
        </w:tc>
        <w:tc>
          <w:tcPr>
            <w:tcW w:w="134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Protective association</w:t>
            </w:r>
          </w:p>
        </w:tc>
      </w:tr>
      <w:tr w:rsidR="00A45A9F" w:rsidRPr="00A45A9F" w:rsidTr="00A45A9F">
        <w:trPr>
          <w:tblCellSpacing w:w="0" w:type="dxa"/>
        </w:trPr>
        <w:tc>
          <w:tcPr>
            <w:tcW w:w="1992"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LVEF &lt;40%</w:t>
            </w:r>
          </w:p>
        </w:tc>
        <w:tc>
          <w:tcPr>
            <w:tcW w:w="13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36</w:t>
            </w:r>
          </w:p>
        </w:tc>
        <w:tc>
          <w:tcPr>
            <w:tcW w:w="70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2.74</w:t>
            </w:r>
          </w:p>
        </w:tc>
        <w:tc>
          <w:tcPr>
            <w:tcW w:w="46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1.04–7.21</w:t>
            </w:r>
          </w:p>
        </w:tc>
        <w:tc>
          <w:tcPr>
            <w:tcW w:w="35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0.042</w:t>
            </w:r>
          </w:p>
        </w:tc>
        <w:tc>
          <w:tcPr>
            <w:tcW w:w="134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Higher odds of poor outcome</w:t>
            </w:r>
          </w:p>
        </w:tc>
      </w:tr>
      <w:tr w:rsidR="00A45A9F" w:rsidRPr="00A45A9F" w:rsidTr="00A45A9F">
        <w:trPr>
          <w:tblCellSpacing w:w="0" w:type="dxa"/>
        </w:trPr>
        <w:tc>
          <w:tcPr>
            <w:tcW w:w="1992"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Diabetes mellitus</w:t>
            </w:r>
          </w:p>
        </w:tc>
        <w:tc>
          <w:tcPr>
            <w:tcW w:w="13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34</w:t>
            </w:r>
          </w:p>
        </w:tc>
        <w:tc>
          <w:tcPr>
            <w:tcW w:w="70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2.18</w:t>
            </w:r>
          </w:p>
        </w:tc>
        <w:tc>
          <w:tcPr>
            <w:tcW w:w="46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0.84–5.67</w:t>
            </w:r>
          </w:p>
        </w:tc>
        <w:tc>
          <w:tcPr>
            <w:tcW w:w="35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0.109</w:t>
            </w:r>
          </w:p>
        </w:tc>
        <w:tc>
          <w:tcPr>
            <w:tcW w:w="134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Directionally higher risk</w:t>
            </w:r>
          </w:p>
        </w:tc>
      </w:tr>
      <w:tr w:rsidR="00A45A9F" w:rsidRPr="00A45A9F" w:rsidTr="00A45A9F">
        <w:trPr>
          <w:tblCellSpacing w:w="0" w:type="dxa"/>
        </w:trPr>
        <w:tc>
          <w:tcPr>
            <w:tcW w:w="1992" w:type="pct"/>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Revascularization during index admission</w:t>
            </w:r>
          </w:p>
        </w:tc>
        <w:tc>
          <w:tcPr>
            <w:tcW w:w="130"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62</w:t>
            </w:r>
          </w:p>
        </w:tc>
        <w:tc>
          <w:tcPr>
            <w:tcW w:w="70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0.58</w:t>
            </w:r>
          </w:p>
        </w:tc>
        <w:tc>
          <w:tcPr>
            <w:tcW w:w="468"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0.22–1.52</w:t>
            </w:r>
          </w:p>
        </w:tc>
        <w:tc>
          <w:tcPr>
            <w:tcW w:w="355"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0.266</w:t>
            </w:r>
          </w:p>
        </w:tc>
        <w:tc>
          <w:tcPr>
            <w:tcW w:w="1346" w:type="pct"/>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No significant association</w:t>
            </w:r>
          </w:p>
        </w:tc>
      </w:tr>
      <w:tr w:rsidR="00A45A9F" w:rsidRPr="00A45A9F" w:rsidTr="00A45A9F">
        <w:trPr>
          <w:tblCellSpacing w:w="0" w:type="dxa"/>
        </w:trPr>
        <w:tc>
          <w:tcPr>
            <w:tcW w:w="1992"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b/>
                <w:color w:val="000000"/>
                <w:sz w:val="16"/>
              </w:rPr>
            </w:pPr>
            <w:r w:rsidRPr="00A45A9F">
              <w:rPr>
                <w:b/>
                <w:color w:val="000000"/>
                <w:sz w:val="16"/>
              </w:rPr>
              <w:t>Antithrombotic therapy at follow-up</w:t>
            </w:r>
          </w:p>
        </w:tc>
        <w:tc>
          <w:tcPr>
            <w:tcW w:w="130"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73</w:t>
            </w:r>
          </w:p>
        </w:tc>
        <w:tc>
          <w:tcPr>
            <w:tcW w:w="708"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OR 0.44</w:t>
            </w:r>
          </w:p>
        </w:tc>
        <w:tc>
          <w:tcPr>
            <w:tcW w:w="468"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0.16–1.19</w:t>
            </w:r>
          </w:p>
        </w:tc>
        <w:tc>
          <w:tcPr>
            <w:tcW w:w="355"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0.104</w:t>
            </w:r>
          </w:p>
        </w:tc>
        <w:tc>
          <w:tcPr>
            <w:tcW w:w="1346" w:type="pct"/>
            <w:tcBorders>
              <w:bottom w:val="single" w:sz="4" w:space="0" w:color="auto"/>
            </w:tcBorders>
            <w:shd w:val="clear" w:color="auto" w:fill="auto"/>
            <w:hideMark/>
          </w:tcPr>
          <w:p w:rsidR="00A45A9F" w:rsidRPr="00A45A9F" w:rsidRDefault="00A45A9F" w:rsidP="00A45A9F">
            <w:pPr>
              <w:pStyle w:val="Body"/>
              <w:spacing w:after="0" w:line="240" w:lineRule="auto"/>
              <w:jc w:val="left"/>
              <w:rPr>
                <w:color w:val="000000"/>
                <w:sz w:val="16"/>
              </w:rPr>
            </w:pPr>
            <w:r w:rsidRPr="00A45A9F">
              <w:rPr>
                <w:color w:val="000000"/>
                <w:sz w:val="16"/>
              </w:rPr>
              <w:t>Directionally protective</w:t>
            </w:r>
          </w:p>
        </w:tc>
      </w:tr>
    </w:tbl>
    <w:p w:rsidR="00A45A9F" w:rsidRPr="00A45A9F" w:rsidRDefault="00A45A9F" w:rsidP="00A45A9F">
      <w:pPr>
        <w:pStyle w:val="Body"/>
      </w:pPr>
      <w:r w:rsidRPr="00A45A9F">
        <w:t xml:space="preserve">The baseline demographic and clinical profile of the study population demonstrated a moderately high-risk post-myocardial infarction cohort with substantial cardiovascular burden. The mean age of participants was 58.9 ± 10.8 years, and males constituted nearly three-quarters of the sample (74.5%), reflecting the recognized male predominance in myocardial infarction populations. Baseline functional limitation was evident, with a mean exercise capacity of 5.6 ± 1.8 METs and an average 6-minute walk distance of 382 ± 86 meters. Left ventricular systolic dysfunction was also notable, as the mean baseline left ventricular ejection fraction was 43.8 ± 12.6%. Baseline comparisons between the cardiac rehabilitation and usual-care groups did not demonstrate statistically significant differences across demographic or functional variables (all p&gt;0.05), suggesting acceptable baseline comparability between groups before intervention exposure (Table 1). </w:t>
      </w:r>
    </w:p>
    <w:p w:rsidR="00A45A9F" w:rsidRPr="00A45A9F" w:rsidRDefault="00A45A9F" w:rsidP="00A45A9F">
      <w:pPr>
        <w:pStyle w:val="Body"/>
      </w:pPr>
      <w:r w:rsidRPr="00A45A9F">
        <w:t xml:space="preserve">The burden of cardiovascular comorbidities was considerable within the study cohort. Hypertension affected 57.4% of participants, dyslipidemia was present in 52.1%, and diabetes mellitus was identified in 36.2% of patients. Left ventricular dysfunction with ejection fraction below 40% was observed in 38.3% of participants, while 66.0% underwent revascularization during the index admission. Antithrombotic therapy remained highly </w:t>
      </w:r>
      <w:r w:rsidRPr="00A45A9F">
        <w:lastRenderedPageBreak/>
        <w:t xml:space="preserve">prevalent during follow-up, being used by 77.7% of patients. Importantly, patients enrolled in cardiac rehabilitation demonstrated significantly greater functional improvement than those receiving usual care, with 51.1% achieving an increase in exercise capacity of at least 2 METs compared with only 17.0% in the usual-care group (p=0.001). Additionally, 83.0% of rehabilitation participants completed at least 75% of prescribed sessions, indicating strong intervention adherence (Table 2). </w:t>
      </w:r>
    </w:p>
    <w:p w:rsidR="00A45A9F" w:rsidRPr="00A45A9F" w:rsidRDefault="00A45A9F" w:rsidP="00A45A9F">
      <w:pPr>
        <w:pStyle w:val="Body"/>
      </w:pPr>
      <w:r w:rsidRPr="00A45A9F">
        <w:t xml:space="preserve">Clinical outcome analysis demonstrated meaningful differences between rehabilitation participants and usual-care patients after myocardial infarction. The overall poor clinical outcome composite occurred in 21.3% of the study population; however, the frequency was substantially lower among patients participating in cardiac rehabilitation (12.8%) compared with usual care (29.8%), corresponding to a significant protective association (OR: 0.35; 95% CI: 0.12–0.94; p=0.038). Similarly, all-cause </w:t>
      </w:r>
      <w:proofErr w:type="spellStart"/>
      <w:r w:rsidRPr="00A45A9F">
        <w:t>rehospitalization</w:t>
      </w:r>
      <w:proofErr w:type="spellEnd"/>
      <w:r w:rsidRPr="00A45A9F">
        <w:t xml:space="preserve"> occurred less frequently in the rehabilitation group (10.6%) than in the usual-care group (27.7%), representing a 69% relative reduction in odds (OR: 0.31; 95% CI: 0.10–0.90; p=0.032). Although reductions were also observed for major adverse cardiovascular events, recurrent angina, documented arrhythmia, and all-cause mortality, these associations did not consistently achieve statistical significance, likely reflecting limited sample size and event frequency (Table 3). </w:t>
      </w:r>
    </w:p>
    <w:p w:rsidR="00A45A9F" w:rsidRPr="00A45A9F" w:rsidRDefault="00A45A9F" w:rsidP="00A45A9F">
      <w:pPr>
        <w:pStyle w:val="Body"/>
      </w:pPr>
      <w:r w:rsidRPr="00A45A9F">
        <w:t xml:space="preserve">Functional and patient-reported recovery outcomes further supported the effectiveness of cardiac rehabilitation after myocardial infarction. Follow-up left ventricular ejection fraction improved to 49.5 ± 11.6% among rehabilitation participants compared with 44.1 ± 12.2% in the usual-care group, corresponding to a statistically significant mean difference of 5.4% (p=0.029). Exercise capacity at follow-up was also markedly higher among rehabilitation patients, reaching 8.0 ± 1.9 METs versus 6.2 ± 1.8 METs in usual-care patients (p&lt;0.001). Health-related quality of life demonstrated similar trends, with rehabilitation participants reporting significantly higher EQ-VAS scores (79.8 ± 15.4 </w:t>
      </w:r>
      <w:proofErr w:type="spellStart"/>
      <w:r w:rsidRPr="00A45A9F">
        <w:t>vs</w:t>
      </w:r>
      <w:proofErr w:type="spellEnd"/>
      <w:r w:rsidRPr="00A45A9F">
        <w:t xml:space="preserve"> 68.6 ± 17.2; p=0.004). These findings collectively suggest that cardiac rehabilitation was associated not only with reduced adverse cardiovascular outcomes but also with clinically meaningful improvements in functional recovery and perceived health status (Table 3). </w:t>
      </w:r>
    </w:p>
    <w:p w:rsidR="00A45A9F" w:rsidRPr="00A45A9F" w:rsidRDefault="00A45A9F" w:rsidP="00A45A9F">
      <w:pPr>
        <w:pStyle w:val="Body"/>
      </w:pPr>
      <w:r w:rsidRPr="00A45A9F">
        <w:t xml:space="preserve">Multivariable inferential analysis identified cardiac rehabilitation participation and improvement in exercise capacity as significant protective factors against poor clinical outcomes after myocardial infarction. Participation in cardiac rehabilitation reduced the odds of poor clinical outcome by approximately 62% (OR: 0.38; 95% CI: 0.14–0.96; p=0.041), while achieving an improvement in exercise capacity of at least 2 METs was associated with a 69% reduction in adverse outcome risk (OR: 0.31; 95% CI: 0.10–0.89; p=0.030). In contrast, left ventricular dysfunction with ejection fraction below 40% significantly increased the likelihood of poor outcomes by nearly threefold (OR: 2.74; 95% CI: 1.04–7.21; p=0.042). Diabetes mellitus demonstrated a directionally increased risk association, although statistical significance was not reached (OR: 2.18; 95% CI: 0.84–5.67; p=0.109). Revascularization during index admission and antithrombotic therapy at follow-up showed favorable but statistically non-significant trends toward outcome reduction (Table 4). These findings indicate that both participation in rehabilitation and improvement in exercise tolerance may independently contribute to improved prognosis following myocardial infarction. </w:t>
      </w:r>
    </w:p>
    <w:p w:rsidR="00A45A9F" w:rsidRPr="00A45A9F" w:rsidRDefault="00A45A9F" w:rsidP="00A45A9F">
      <w:pPr>
        <w:pStyle w:val="Body"/>
        <w:jc w:val="center"/>
      </w:pPr>
      <w:r>
        <w:rPr>
          <w:noProof/>
        </w:rPr>
        <w:drawing>
          <wp:inline distT="0" distB="0" distL="0" distR="0">
            <wp:extent cx="4572000" cy="269599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01_42_1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695996"/>
                    </a:xfrm>
                    <a:prstGeom prst="rect">
                      <a:avLst/>
                    </a:prstGeom>
                  </pic:spPr>
                </pic:pic>
              </a:graphicData>
            </a:graphic>
          </wp:inline>
        </w:drawing>
      </w:r>
    </w:p>
    <w:p w:rsidR="00A45A9F" w:rsidRPr="00A45A9F" w:rsidRDefault="00A45A9F" w:rsidP="00A45A9F">
      <w:pPr>
        <w:pStyle w:val="Body"/>
      </w:pPr>
    </w:p>
    <w:p w:rsidR="00A45A9F" w:rsidRPr="00A45A9F" w:rsidRDefault="00A45A9F" w:rsidP="00A45A9F">
      <w:pPr>
        <w:pStyle w:val="Body"/>
      </w:pPr>
      <w:r w:rsidRPr="00A45A9F">
        <w:lastRenderedPageBreak/>
        <w:t xml:space="preserve">The integrated comparative analysis demonstrated consistently lower adverse cardiovascular outcome frequencies among patients participating in cardiac rehabilitation compared with usual care after myocardial infarction. The largest relative reductions were observed for all-cause mortality (75%), poor clinical outcome composite (57%), </w:t>
      </w:r>
      <w:proofErr w:type="spellStart"/>
      <w:r w:rsidRPr="00A45A9F">
        <w:t>rehospitalization</w:t>
      </w:r>
      <w:proofErr w:type="spellEnd"/>
      <w:r w:rsidRPr="00A45A9F">
        <w:t xml:space="preserve"> (62%), and documented arrhythmia (62%). Patients undergoing rehabilitation also exhibited lower frequencies of recurrent angina (10.6% </w:t>
      </w:r>
      <w:proofErr w:type="spellStart"/>
      <w:r w:rsidRPr="00A45A9F">
        <w:t>vs</w:t>
      </w:r>
      <w:proofErr w:type="spellEnd"/>
      <w:r w:rsidRPr="00A45A9F">
        <w:t xml:space="preserve"> 23.4%) and major adverse cardiovascular events (8.5% </w:t>
      </w:r>
      <w:proofErr w:type="spellStart"/>
      <w:r w:rsidRPr="00A45A9F">
        <w:t>vs</w:t>
      </w:r>
      <w:proofErr w:type="spellEnd"/>
      <w:r w:rsidRPr="00A45A9F">
        <w:t xml:space="preserve"> 19.1%). The outcome gradient across all measured cardiovascular endpoints showed a uniform directional benefit favoring rehabilitation participation, supporting the hypothesis that structured cardiac rehabilitation is associated with broad multidimensional clinical improvement beyond isolated functional recovery measures. The magnitude and consistency of relative risk reductions across diverse cardiovascular outcomes further suggest that rehabilitation-associated benefits may involve simultaneous effects on exercise tolerance, cardiovascular stability, symptom burden, and post-myocardial infarction recovery trajectory.</w:t>
      </w:r>
    </w:p>
    <w:p w:rsidR="00A45A9F" w:rsidRPr="00A45A9F" w:rsidRDefault="00A45A9F" w:rsidP="00A45A9F">
      <w:pPr>
        <w:pStyle w:val="Heading1"/>
      </w:pPr>
      <w:r w:rsidRPr="00A45A9F">
        <w:t xml:space="preserve"> Discussion</w:t>
      </w:r>
    </w:p>
    <w:p w:rsidR="00A45A9F" w:rsidRPr="00A45A9F" w:rsidRDefault="00A45A9F" w:rsidP="00A45A9F">
      <w:pPr>
        <w:pStyle w:val="Body"/>
      </w:pPr>
      <w:r w:rsidRPr="00A45A9F">
        <w:t xml:space="preserve">The present study evaluated the effectiveness of cardiac rehabilitation on functional recovery and clinical outcomes among patients after myocardial infarction and demonstrated that participation in rehabilitation was associated with substantial improvements in cardiovascular prognosis, exercise capacity, and health-related quality of life. Patients who participated in cardiac rehabilitation exhibited significantly lower odds of poor clinical outcomes, lower </w:t>
      </w:r>
      <w:proofErr w:type="spellStart"/>
      <w:r w:rsidRPr="00A45A9F">
        <w:t>rehospitalization</w:t>
      </w:r>
      <w:proofErr w:type="spellEnd"/>
      <w:r w:rsidRPr="00A45A9F">
        <w:t xml:space="preserve"> rates, and superior functional recovery compared with patients receiving usual care. In particular, rehabilitation participation was associated with a 62% reduction in the odds of poor clinical outcome, while improvement in exercise capacity of at least 2 METs independently demonstrated a strong protective association against adverse cardiovascular events. These findings reinforce the growing body of evidence supporting exercise-based rehabilitation as an essential component of secondary prevention after myocardial infarction (11</w:t>
      </w:r>
      <w:proofErr w:type="gramStart"/>
      <w:r w:rsidRPr="00A45A9F">
        <w:t>,12</w:t>
      </w:r>
      <w:proofErr w:type="gramEnd"/>
      <w:r w:rsidRPr="00A45A9F">
        <w:t>).</w:t>
      </w:r>
    </w:p>
    <w:p w:rsidR="00A45A9F" w:rsidRPr="00A45A9F" w:rsidRDefault="00A45A9F" w:rsidP="00A45A9F">
      <w:pPr>
        <w:pStyle w:val="Body"/>
      </w:pPr>
      <w:r w:rsidRPr="00A45A9F">
        <w:t xml:space="preserve">Cardiac rehabilitation is recognized as a multidimensional intervention targeting physical conditioning, cardiovascular risk reduction, medication adherence, psychological recovery, and lifestyle modification. The observed improvements in follow-up exercise capacity and left ventricular ejection fraction among rehabilitation participants are biologically plausible because structured rehabilitation programs may improve endothelial function, autonomic regulation, skeletal muscle efficiency, and myocardial remodeling after ischemic injury (13). In the present study, patients in the rehabilitation group achieved significantly higher follow-up exercise capacity compared with usual-care participants (8.0 ± 1.9 </w:t>
      </w:r>
      <w:proofErr w:type="spellStart"/>
      <w:r w:rsidRPr="00A45A9F">
        <w:t>vs</w:t>
      </w:r>
      <w:proofErr w:type="spellEnd"/>
      <w:r w:rsidRPr="00A45A9F">
        <w:t xml:space="preserve"> 6.2 ± 1.8 METs; p&lt;0.001), supporting previous evidence that supervised exercise training improves cardiopulmonary performance and functional independence after myocardial infarction (14). Similarly, follow-up left ventricular ejection fraction was significantly higher among rehabilitation participants, suggesting favorable ventricular recovery and potential attenuation of adverse post-infarction remodeling.</w:t>
      </w:r>
    </w:p>
    <w:p w:rsidR="00A45A9F" w:rsidRPr="00A45A9F" w:rsidRDefault="00A45A9F" w:rsidP="00A45A9F">
      <w:pPr>
        <w:pStyle w:val="Body"/>
      </w:pPr>
      <w:r w:rsidRPr="00A45A9F">
        <w:t xml:space="preserve">The study also demonstrated clinically meaningful reductions in </w:t>
      </w:r>
      <w:proofErr w:type="spellStart"/>
      <w:r w:rsidRPr="00A45A9F">
        <w:t>rehospitalization</w:t>
      </w:r>
      <w:proofErr w:type="spellEnd"/>
      <w:r w:rsidRPr="00A45A9F">
        <w:t xml:space="preserve"> and poor clinical outcome composite among patients receiving rehabilitation. </w:t>
      </w:r>
      <w:proofErr w:type="spellStart"/>
      <w:r w:rsidRPr="00A45A9F">
        <w:t>Rehospitalization</w:t>
      </w:r>
      <w:proofErr w:type="spellEnd"/>
      <w:r w:rsidRPr="00A45A9F">
        <w:t xml:space="preserve"> after myocardial infarction represents a major burden for patients and healthcare systems because recurrent admissions are associated with increased mortality risk, reduced quality of life, and higher healthcare costs. Rehabilitation participants in the present study experienced significantly lower </w:t>
      </w:r>
      <w:proofErr w:type="spellStart"/>
      <w:r w:rsidRPr="00A45A9F">
        <w:t>rehospitalization</w:t>
      </w:r>
      <w:proofErr w:type="spellEnd"/>
      <w:r w:rsidRPr="00A45A9F">
        <w:t xml:space="preserve"> frequencies compared with usual-care patients (10.6% </w:t>
      </w:r>
      <w:proofErr w:type="spellStart"/>
      <w:r w:rsidRPr="00A45A9F">
        <w:t>vs</w:t>
      </w:r>
      <w:proofErr w:type="spellEnd"/>
      <w:r w:rsidRPr="00A45A9F">
        <w:t xml:space="preserve"> 27.7%; p=0.032), which is consistent with previous investigations reporting that cardiac rehabilitation improves self-management behaviors, adherence to therapy, exercise tolerance, and cardiovascular stability after discharge (15,16). Although reductions in major adverse cardiovascular events, recurrent angina, arrhythmia, and mortality did not uniformly achieve statistical significance, all outcomes demonstrated consistent directional benefit favoring rehabilitation participation. The lack of statistical significance for certain endpoints may be attributable to the relatively limited sample size and lower event frequency rather than absence of clinical effect.</w:t>
      </w:r>
    </w:p>
    <w:p w:rsidR="00A45A9F" w:rsidRPr="00A45A9F" w:rsidRDefault="00A45A9F" w:rsidP="00A45A9F">
      <w:pPr>
        <w:pStyle w:val="Body"/>
      </w:pPr>
      <w:r w:rsidRPr="00A45A9F">
        <w:t xml:space="preserve">Exercise capacity improvement emerged as one of the strongest protective predictors in the study. Patients achieving an improvement of at least 2 METs demonstrated approximately 69% lower odds of poor clinical outcomes. This finding is clinically important because exercise tolerance is increasingly recognized as a robust prognostic marker after myocardial infarction. Improved exercise capacity may reflect enhanced cardiovascular reserve, improved myocardial efficiency, reduced symptom burden, and greater physiological adaptation to physical stress (17). Previous longitudinal studies have similarly demonstrated that post-rehabilitation gains in exercise capacity are independently associated with reduced long-term cardiovascular events and mortality (18). </w:t>
      </w:r>
      <w:r w:rsidRPr="00A45A9F">
        <w:lastRenderedPageBreak/>
        <w:t>Therefore, assessment of exercise performance may provide a clinically meaningful marker for evaluating rehabilitation effectiveness and long-term prognosis after myocardial infarction.</w:t>
      </w:r>
    </w:p>
    <w:p w:rsidR="00A45A9F" w:rsidRPr="00A45A9F" w:rsidRDefault="00A45A9F" w:rsidP="00A45A9F">
      <w:pPr>
        <w:pStyle w:val="Body"/>
      </w:pPr>
      <w:r w:rsidRPr="00A45A9F">
        <w:t xml:space="preserve">In contrast, left ventricular dysfunction remained a significant adverse prognostic factor in the present study. Patients with left ventricular ejection fraction below 40% exhibited nearly threefold higher odds of poor clinical outcomes. Reduced left ventricular systolic function after myocardial infarction is strongly associated with progressive ventricular remodeling, </w:t>
      </w:r>
      <w:proofErr w:type="spellStart"/>
      <w:r w:rsidRPr="00A45A9F">
        <w:t>arrhythmogenic</w:t>
      </w:r>
      <w:proofErr w:type="spellEnd"/>
      <w:r w:rsidRPr="00A45A9F">
        <w:t xml:space="preserve"> risk, exercise intolerance, and heart failure progression (19). The persistence of this association despite rehabilitation participation highlights the importance of early risk stratification and aggressive secondary prevention in patients with impaired ventricular function. Although diabetes mellitus demonstrated a directionally unfavorable association with adverse outcomes, statistical significance was not achieved. This finding remains clinically relevant because diabetic patients frequently exhibit accelerated atherosclerosis, endothelial dysfunction, and impaired recovery after myocardial infarction (20).</w:t>
      </w:r>
    </w:p>
    <w:p w:rsidR="00A45A9F" w:rsidRPr="00A45A9F" w:rsidRDefault="00A45A9F" w:rsidP="00A45A9F">
      <w:pPr>
        <w:pStyle w:val="Body"/>
      </w:pPr>
      <w:r w:rsidRPr="00A45A9F">
        <w:t>The observed improvement in EQ-VAS health status scores among rehabilitation participants further emphasizes the multidimensional benefits of cardiac rehabilitation. Patients recovering after myocardial infarction often experience psychological distress, anxiety regarding recurrent events, physical deconditioning, and reduced confidence in daily functioning. Rehabilitation programs may address these issues through supervised exercise, patient education, counseling, and structured follow-up, thereby improving both subjective and objective recovery measures (21). The significantly higher EQ-VAS scores among rehabilitation participants in the present study support prior evidence indicating that rehabilitation contributes meaningfully to health-related quality of life and patient-centered recovery after acute coronary events.</w:t>
      </w:r>
    </w:p>
    <w:p w:rsidR="00A45A9F" w:rsidRPr="00A45A9F" w:rsidRDefault="00A45A9F" w:rsidP="00A45A9F">
      <w:pPr>
        <w:pStyle w:val="Body"/>
      </w:pPr>
      <w:r w:rsidRPr="00A45A9F">
        <w:t>Several limitations should be considered while interpreting the findings of this study. The quasi-experimental design limits the ability to establish definitive causal relationships because participants were not randomly allocated to intervention groups. Residual confounding and selection bias may therefore have influenced observed associations despite adjustment for clinically relevant predictors. The sample size was relatively moderate, which may have reduced statistical power for certain secondary cardiovascular outcomes, particularly mortality and arrhythmia analyses. Additionally, rehabilitation adherence variability may have affected the magnitude of observed benefits. Nevertheless, the study incorporated clinically relevant functional, cardiovascular, and patient-reported outcomes, providing a comprehensive evaluation of post-myocardial infarction rehabilitation effectiveness within a real-world clinical context.</w:t>
      </w:r>
    </w:p>
    <w:p w:rsidR="00A45A9F" w:rsidRPr="00A45A9F" w:rsidRDefault="00A45A9F" w:rsidP="00A45A9F">
      <w:pPr>
        <w:pStyle w:val="Body"/>
      </w:pPr>
      <w:r w:rsidRPr="00A45A9F">
        <w:t>Despite these limitations, the findings have important clinical implications. The consistent reduction in adverse cardiovascular outcomes, combined with significant improvements in exercise capacity, left ventricular function, and quality of life, supports broader implementation of cardiac rehabilitation after myocardial infarction. Increasing referral rates, improving patient adherence, and expanding access to structured rehabilitation services may substantially enhance secondary prevention strategies and long-term cardiovascular recovery. Future multicenter prospective studies with larger sample sizes and randomized designs are warranted to further clarify the long-term prognostic impact of rehabilitation intensity, adherence patterns, and individualized exercise prescription after myocardial infarction.</w:t>
      </w:r>
    </w:p>
    <w:p w:rsidR="00A45A9F" w:rsidRPr="00A45A9F" w:rsidRDefault="00A45A9F" w:rsidP="00A45A9F">
      <w:pPr>
        <w:pStyle w:val="Heading1"/>
      </w:pPr>
      <w:r w:rsidRPr="00A45A9F">
        <w:t>Conclusion</w:t>
      </w:r>
    </w:p>
    <w:p w:rsidR="00A45A9F" w:rsidRPr="00A45A9F" w:rsidRDefault="00A45A9F" w:rsidP="00A45A9F">
      <w:pPr>
        <w:pStyle w:val="Body"/>
      </w:pPr>
      <w:r w:rsidRPr="00A45A9F">
        <w:t xml:space="preserve">Cardiac rehabilitation after myocardial infarction was associated with significant improvements in functional recovery, cardiovascular outcomes, and health-related quality of life compared with usual care. Participation in rehabilitation was independently associated with lower odds of poor clinical outcomes and </w:t>
      </w:r>
      <w:proofErr w:type="spellStart"/>
      <w:r w:rsidRPr="00A45A9F">
        <w:t>rehospitalization</w:t>
      </w:r>
      <w:proofErr w:type="spellEnd"/>
      <w:r w:rsidRPr="00A45A9F">
        <w:t>, while improvement in exercise capacity emerged as a strong protective prognostic factor. Patients undergoing rehabilitation demonstrated superior follow-up exercise capacity, higher left ventricular ejection fraction, and better EQ-VAS health status scores, supporting the multidimensional benefits of structured rehabilitation after myocardial infarction. Conversely, left ventricular dysfunction remained a significant predictor of adverse outcomes, emphasizing the importance of early risk stratification and targeted secondary prevention strategies. These findings support the integration of cardiac rehabilitation into routine post-myocardial infarction management and highlight the clinical value of improving rehabilitation access, participation, and adherence to optimize long-term cardiovascular recovery and patient-centered outcomes.</w:t>
      </w:r>
    </w:p>
    <w:p w:rsidR="00A45A9F" w:rsidRPr="00A45A9F" w:rsidRDefault="00A45A9F" w:rsidP="00A45A9F">
      <w:pPr>
        <w:pStyle w:val="Heading1"/>
      </w:pPr>
      <w:r>
        <w:lastRenderedPageBreak/>
        <w:t xml:space="preserve">References </w:t>
      </w:r>
    </w:p>
    <w:p w:rsidR="00A45A9F" w:rsidRPr="00A45A9F" w:rsidRDefault="00A45A9F" w:rsidP="00A45A9F">
      <w:pPr>
        <w:pStyle w:val="Body"/>
        <w:numPr>
          <w:ilvl w:val="0"/>
          <w:numId w:val="18"/>
        </w:numPr>
      </w:pPr>
      <w:r w:rsidRPr="00A45A9F">
        <w:t>Alpert JS. Cardiac rehabilitation: an underutilized class I treatment for cardiovascular disease. Am J Med. 2020</w:t>
      </w:r>
      <w:proofErr w:type="gramStart"/>
      <w:r w:rsidRPr="00A45A9F">
        <w:t>;133</w:t>
      </w:r>
      <w:proofErr w:type="gramEnd"/>
      <w:r w:rsidRPr="00A45A9F">
        <w:t xml:space="preserve">(9):1001-1002. doi:10.1016/j.amjmed.2020.01.008 </w:t>
      </w:r>
    </w:p>
    <w:p w:rsidR="00A45A9F" w:rsidRPr="00A45A9F" w:rsidRDefault="00A45A9F" w:rsidP="00A45A9F">
      <w:pPr>
        <w:pStyle w:val="Body"/>
        <w:numPr>
          <w:ilvl w:val="0"/>
          <w:numId w:val="18"/>
        </w:numPr>
      </w:pPr>
      <w:r w:rsidRPr="00A45A9F">
        <w:t xml:space="preserve">Epstein E, </w:t>
      </w:r>
      <w:proofErr w:type="spellStart"/>
      <w:r w:rsidRPr="00A45A9F">
        <w:t>Rosander</w:t>
      </w:r>
      <w:proofErr w:type="spellEnd"/>
      <w:r w:rsidRPr="00A45A9F">
        <w:t xml:space="preserve"> A, </w:t>
      </w:r>
      <w:proofErr w:type="spellStart"/>
      <w:r w:rsidRPr="00A45A9F">
        <w:t>Pazargadi</w:t>
      </w:r>
      <w:proofErr w:type="spellEnd"/>
      <w:r w:rsidRPr="00A45A9F">
        <w:t xml:space="preserve"> A, </w:t>
      </w:r>
      <w:proofErr w:type="spellStart"/>
      <w:r w:rsidRPr="00A45A9F">
        <w:t>Taub</w:t>
      </w:r>
      <w:proofErr w:type="spellEnd"/>
      <w:r w:rsidRPr="00A45A9F">
        <w:t xml:space="preserve"> P. Cardiac rehab for functional improvement. </w:t>
      </w:r>
      <w:proofErr w:type="spellStart"/>
      <w:r w:rsidRPr="00A45A9F">
        <w:t>Curr</w:t>
      </w:r>
      <w:proofErr w:type="spellEnd"/>
      <w:r w:rsidRPr="00A45A9F">
        <w:t xml:space="preserve"> Heart Fail Rep. 2020</w:t>
      </w:r>
      <w:proofErr w:type="gramStart"/>
      <w:r w:rsidRPr="00A45A9F">
        <w:t>;17</w:t>
      </w:r>
      <w:proofErr w:type="gramEnd"/>
      <w:r w:rsidRPr="00A45A9F">
        <w:t xml:space="preserve">(2):40-48. doi:10.1007/s11897-020-00462-2 </w:t>
      </w:r>
    </w:p>
    <w:p w:rsidR="00A45A9F" w:rsidRPr="00A45A9F" w:rsidRDefault="00A45A9F" w:rsidP="00A45A9F">
      <w:pPr>
        <w:pStyle w:val="Body"/>
        <w:numPr>
          <w:ilvl w:val="0"/>
          <w:numId w:val="18"/>
        </w:numPr>
      </w:pPr>
      <w:proofErr w:type="spellStart"/>
      <w:r w:rsidRPr="00A45A9F">
        <w:t>Hurdus</w:t>
      </w:r>
      <w:proofErr w:type="spellEnd"/>
      <w:r w:rsidRPr="00A45A9F">
        <w:t xml:space="preserve"> B, </w:t>
      </w:r>
      <w:proofErr w:type="spellStart"/>
      <w:r w:rsidRPr="00A45A9F">
        <w:t>Munyombwe</w:t>
      </w:r>
      <w:proofErr w:type="spellEnd"/>
      <w:r w:rsidRPr="00A45A9F">
        <w:t xml:space="preserve"> T, </w:t>
      </w:r>
      <w:proofErr w:type="spellStart"/>
      <w:r w:rsidRPr="00A45A9F">
        <w:t>Dondo</w:t>
      </w:r>
      <w:proofErr w:type="spellEnd"/>
      <w:r w:rsidRPr="00A45A9F">
        <w:t xml:space="preserve"> T, </w:t>
      </w:r>
      <w:proofErr w:type="spellStart"/>
      <w:r w:rsidRPr="00A45A9F">
        <w:t>Aktaa</w:t>
      </w:r>
      <w:proofErr w:type="spellEnd"/>
      <w:r w:rsidRPr="00A45A9F">
        <w:t xml:space="preserve"> S, Oliver G, Hall M, et al. Association of cardiac rehabilitation and health-related quality of life following acute myocardial infarction. Heart. 2020</w:t>
      </w:r>
      <w:proofErr w:type="gramStart"/>
      <w:r w:rsidRPr="00A45A9F">
        <w:t>;106</w:t>
      </w:r>
      <w:proofErr w:type="gramEnd"/>
      <w:r w:rsidRPr="00A45A9F">
        <w:t xml:space="preserve">(22):1726-1731. doi:10.1136/heartjnl-2020-316920 </w:t>
      </w:r>
    </w:p>
    <w:p w:rsidR="00A45A9F" w:rsidRPr="00A45A9F" w:rsidRDefault="00A45A9F" w:rsidP="00A45A9F">
      <w:pPr>
        <w:pStyle w:val="Body"/>
        <w:numPr>
          <w:ilvl w:val="0"/>
          <w:numId w:val="18"/>
        </w:numPr>
      </w:pPr>
      <w:r w:rsidRPr="00A45A9F">
        <w:t xml:space="preserve">Ivana D, Tri </w:t>
      </w:r>
      <w:proofErr w:type="spellStart"/>
      <w:r w:rsidRPr="00A45A9F">
        <w:t>Tjahjono</w:t>
      </w:r>
      <w:proofErr w:type="spellEnd"/>
      <w:r w:rsidRPr="00A45A9F">
        <w:t xml:space="preserve"> C. Cardiac rehabilitation to prevent </w:t>
      </w:r>
      <w:proofErr w:type="spellStart"/>
      <w:r w:rsidRPr="00A45A9F">
        <w:t>rehospitalization</w:t>
      </w:r>
      <w:proofErr w:type="spellEnd"/>
      <w:r w:rsidRPr="00A45A9F">
        <w:t xml:space="preserve"> in myocardial infarction patients. </w:t>
      </w:r>
      <w:proofErr w:type="spellStart"/>
      <w:r w:rsidRPr="00A45A9F">
        <w:t>Clin</w:t>
      </w:r>
      <w:proofErr w:type="spellEnd"/>
      <w:r w:rsidRPr="00A45A9F">
        <w:t xml:space="preserve"> Res J Intern Med. 2022</w:t>
      </w:r>
      <w:proofErr w:type="gramStart"/>
      <w:r w:rsidRPr="00A45A9F">
        <w:t>;3</w:t>
      </w:r>
      <w:proofErr w:type="gramEnd"/>
      <w:r w:rsidRPr="00A45A9F">
        <w:t xml:space="preserve">(2):324-331. doi:10.21776/ub.crjim.2022.003.02.6 </w:t>
      </w:r>
    </w:p>
    <w:p w:rsidR="00A45A9F" w:rsidRPr="00A45A9F" w:rsidRDefault="00A45A9F" w:rsidP="00A45A9F">
      <w:pPr>
        <w:pStyle w:val="Body"/>
        <w:numPr>
          <w:ilvl w:val="0"/>
          <w:numId w:val="18"/>
        </w:numPr>
      </w:pPr>
      <w:proofErr w:type="spellStart"/>
      <w:r w:rsidRPr="00A45A9F">
        <w:t>Mansilla-Chacón</w:t>
      </w:r>
      <w:proofErr w:type="spellEnd"/>
      <w:r w:rsidRPr="00A45A9F">
        <w:t xml:space="preserve"> M, Gómez-</w:t>
      </w:r>
      <w:proofErr w:type="spellStart"/>
      <w:r w:rsidRPr="00A45A9F">
        <w:t>Urquiza</w:t>
      </w:r>
      <w:proofErr w:type="spellEnd"/>
      <w:r w:rsidRPr="00A45A9F">
        <w:t xml:space="preserve"> JL, </w:t>
      </w:r>
      <w:proofErr w:type="spellStart"/>
      <w:r w:rsidRPr="00A45A9F">
        <w:t>Martos</w:t>
      </w:r>
      <w:proofErr w:type="spellEnd"/>
      <w:r w:rsidRPr="00A45A9F">
        <w:t xml:space="preserve">-Cabrera MB, </w:t>
      </w:r>
      <w:proofErr w:type="spellStart"/>
      <w:r w:rsidRPr="00A45A9F">
        <w:t>Albendín-García</w:t>
      </w:r>
      <w:proofErr w:type="spellEnd"/>
      <w:r w:rsidRPr="00A45A9F">
        <w:t xml:space="preserve"> L, Romero-</w:t>
      </w:r>
      <w:proofErr w:type="spellStart"/>
      <w:r w:rsidRPr="00A45A9F">
        <w:t>Béjar</w:t>
      </w:r>
      <w:proofErr w:type="spellEnd"/>
      <w:r w:rsidRPr="00A45A9F">
        <w:t xml:space="preserve"> JL, </w:t>
      </w:r>
      <w:proofErr w:type="spellStart"/>
      <w:r w:rsidRPr="00A45A9F">
        <w:t>Fuente</w:t>
      </w:r>
      <w:proofErr w:type="spellEnd"/>
      <w:r w:rsidRPr="00A45A9F">
        <w:t xml:space="preserve"> GAC-DL, et al. Effects of supervised cardiac rehabilitation </w:t>
      </w:r>
      <w:proofErr w:type="spellStart"/>
      <w:r w:rsidRPr="00A45A9F">
        <w:t>programmes</w:t>
      </w:r>
      <w:proofErr w:type="spellEnd"/>
      <w:r w:rsidRPr="00A45A9F">
        <w:t xml:space="preserve"> on quality of life among myocardial infarction patients: a systematic review and meta-analysis. J </w:t>
      </w:r>
      <w:proofErr w:type="spellStart"/>
      <w:r w:rsidRPr="00A45A9F">
        <w:t>Cardiovasc</w:t>
      </w:r>
      <w:proofErr w:type="spellEnd"/>
      <w:r w:rsidRPr="00A45A9F">
        <w:t xml:space="preserve"> </w:t>
      </w:r>
      <w:proofErr w:type="spellStart"/>
      <w:r w:rsidRPr="00A45A9F">
        <w:t>Dev</w:t>
      </w:r>
      <w:proofErr w:type="spellEnd"/>
      <w:r w:rsidRPr="00A45A9F">
        <w:t xml:space="preserve"> Dis. 2021</w:t>
      </w:r>
      <w:proofErr w:type="gramStart"/>
      <w:r w:rsidRPr="00A45A9F">
        <w:t>;8</w:t>
      </w:r>
      <w:proofErr w:type="gramEnd"/>
      <w:r w:rsidRPr="00A45A9F">
        <w:t xml:space="preserve">(12):166. doi:10.3390/jcdd8120166 </w:t>
      </w:r>
    </w:p>
    <w:p w:rsidR="00A45A9F" w:rsidRPr="00A45A9F" w:rsidRDefault="00A45A9F" w:rsidP="00A45A9F">
      <w:pPr>
        <w:pStyle w:val="Body"/>
        <w:numPr>
          <w:ilvl w:val="0"/>
          <w:numId w:val="18"/>
        </w:numPr>
      </w:pPr>
      <w:proofErr w:type="spellStart"/>
      <w:r w:rsidRPr="00A45A9F">
        <w:t>Rahmi</w:t>
      </w:r>
      <w:proofErr w:type="spellEnd"/>
      <w:r w:rsidRPr="00A45A9F">
        <w:t xml:space="preserve"> M, </w:t>
      </w:r>
      <w:proofErr w:type="spellStart"/>
      <w:r w:rsidRPr="00A45A9F">
        <w:t>Merzouk</w:t>
      </w:r>
      <w:proofErr w:type="spellEnd"/>
      <w:r w:rsidRPr="00A45A9F">
        <w:t xml:space="preserve"> F, </w:t>
      </w:r>
      <w:proofErr w:type="spellStart"/>
      <w:r w:rsidRPr="00A45A9F">
        <w:t>Ouarradi</w:t>
      </w:r>
      <w:proofErr w:type="spellEnd"/>
      <w:r w:rsidRPr="00A45A9F">
        <w:t xml:space="preserve"> AE, </w:t>
      </w:r>
      <w:proofErr w:type="spellStart"/>
      <w:r w:rsidRPr="00A45A9F">
        <w:t>Habbal</w:t>
      </w:r>
      <w:proofErr w:type="spellEnd"/>
      <w:r w:rsidRPr="00A45A9F">
        <w:t xml:space="preserve"> R. Importance of cardiac rehabilitation in post-myocardial infarction. </w:t>
      </w:r>
      <w:proofErr w:type="spellStart"/>
      <w:r w:rsidRPr="00A45A9F">
        <w:t>Cardiol</w:t>
      </w:r>
      <w:proofErr w:type="spellEnd"/>
      <w:r w:rsidRPr="00A45A9F">
        <w:t xml:space="preserve"> </w:t>
      </w:r>
      <w:proofErr w:type="spellStart"/>
      <w:r w:rsidRPr="00A45A9F">
        <w:t>Angiol</w:t>
      </w:r>
      <w:proofErr w:type="spellEnd"/>
      <w:r w:rsidRPr="00A45A9F">
        <w:t xml:space="preserve"> </w:t>
      </w:r>
      <w:proofErr w:type="spellStart"/>
      <w:r w:rsidRPr="00A45A9F">
        <w:t>Int</w:t>
      </w:r>
      <w:proofErr w:type="spellEnd"/>
      <w:r w:rsidRPr="00A45A9F">
        <w:t xml:space="preserve"> J. 2024</w:t>
      </w:r>
      <w:proofErr w:type="gramStart"/>
      <w:r w:rsidRPr="00A45A9F">
        <w:t>;13</w:t>
      </w:r>
      <w:proofErr w:type="gramEnd"/>
      <w:r w:rsidRPr="00A45A9F">
        <w:t>(4):435-442. doi:10.9734/</w:t>
      </w:r>
      <w:proofErr w:type="spellStart"/>
      <w:r w:rsidRPr="00A45A9F">
        <w:t>ca</w:t>
      </w:r>
      <w:proofErr w:type="spellEnd"/>
      <w:r w:rsidRPr="00A45A9F">
        <w:t xml:space="preserve">/2024/v13i4435 </w:t>
      </w:r>
    </w:p>
    <w:p w:rsidR="00A45A9F" w:rsidRPr="00A45A9F" w:rsidRDefault="00A45A9F" w:rsidP="00A45A9F">
      <w:pPr>
        <w:pStyle w:val="Body"/>
        <w:numPr>
          <w:ilvl w:val="0"/>
          <w:numId w:val="18"/>
        </w:numPr>
      </w:pPr>
      <w:r w:rsidRPr="00A45A9F">
        <w:t xml:space="preserve">Kim C, Choi I, Cho S, Kim A, Kim W, </w:t>
      </w:r>
      <w:proofErr w:type="spellStart"/>
      <w:r w:rsidRPr="00A45A9F">
        <w:t>Jee</w:t>
      </w:r>
      <w:proofErr w:type="spellEnd"/>
      <w:r w:rsidRPr="00A45A9F">
        <w:t xml:space="preserve"> S. Do cardiac rehabilitation affect clinical prognoses such as recurrence, readmission, revascularization, and mortality after AMI</w:t>
      </w:r>
      <w:proofErr w:type="gramStart"/>
      <w:r w:rsidRPr="00A45A9F">
        <w:t>?:</w:t>
      </w:r>
      <w:proofErr w:type="gramEnd"/>
      <w:r w:rsidRPr="00A45A9F">
        <w:t xml:space="preserve"> systematic review and meta-analysis. Ann </w:t>
      </w:r>
      <w:proofErr w:type="spellStart"/>
      <w:r w:rsidRPr="00A45A9F">
        <w:t>Rehabil</w:t>
      </w:r>
      <w:proofErr w:type="spellEnd"/>
      <w:r w:rsidRPr="00A45A9F">
        <w:t xml:space="preserve"> Med. 2021</w:t>
      </w:r>
      <w:proofErr w:type="gramStart"/>
      <w:r w:rsidRPr="00A45A9F">
        <w:t>;45</w:t>
      </w:r>
      <w:proofErr w:type="gramEnd"/>
      <w:r w:rsidRPr="00A45A9F">
        <w:t xml:space="preserve">(5):357-376. doi:10.5535/arm.20080 </w:t>
      </w:r>
    </w:p>
    <w:p w:rsidR="00A45A9F" w:rsidRPr="00A45A9F" w:rsidRDefault="00A45A9F" w:rsidP="00A45A9F">
      <w:pPr>
        <w:pStyle w:val="Body"/>
        <w:numPr>
          <w:ilvl w:val="0"/>
          <w:numId w:val="18"/>
        </w:numPr>
      </w:pPr>
      <w:proofErr w:type="spellStart"/>
      <w:r w:rsidRPr="00A45A9F">
        <w:t>Nemani</w:t>
      </w:r>
      <w:proofErr w:type="spellEnd"/>
      <w:r w:rsidRPr="00A45A9F">
        <w:t xml:space="preserve"> RRS, </w:t>
      </w:r>
      <w:proofErr w:type="spellStart"/>
      <w:r w:rsidRPr="00A45A9F">
        <w:t>Gade</w:t>
      </w:r>
      <w:proofErr w:type="spellEnd"/>
      <w:r w:rsidRPr="00A45A9F">
        <w:t xml:space="preserve"> BS, </w:t>
      </w:r>
      <w:proofErr w:type="spellStart"/>
      <w:r w:rsidRPr="00A45A9F">
        <w:t>Panchumarthi</w:t>
      </w:r>
      <w:proofErr w:type="spellEnd"/>
      <w:r w:rsidRPr="00A45A9F">
        <w:t xml:space="preserve"> D, </w:t>
      </w:r>
      <w:proofErr w:type="spellStart"/>
      <w:r w:rsidRPr="00A45A9F">
        <w:t>Bathula</w:t>
      </w:r>
      <w:proofErr w:type="spellEnd"/>
      <w:r w:rsidRPr="00A45A9F">
        <w:t xml:space="preserve"> BVSR, </w:t>
      </w:r>
      <w:proofErr w:type="spellStart"/>
      <w:r w:rsidRPr="00A45A9F">
        <w:t>Pendli</w:t>
      </w:r>
      <w:proofErr w:type="spellEnd"/>
      <w:r w:rsidRPr="00A45A9F">
        <w:t xml:space="preserve"> G, </w:t>
      </w:r>
      <w:proofErr w:type="spellStart"/>
      <w:r w:rsidRPr="00A45A9F">
        <w:t>Panjiyar</w:t>
      </w:r>
      <w:proofErr w:type="spellEnd"/>
      <w:r w:rsidRPr="00A45A9F">
        <w:t xml:space="preserve"> BK. Role of cardiac rehabilitation in improving outcomes after myocardial infarction. </w:t>
      </w:r>
      <w:proofErr w:type="spellStart"/>
      <w:r w:rsidRPr="00A45A9F">
        <w:t>Cureus</w:t>
      </w:r>
      <w:proofErr w:type="spellEnd"/>
      <w:r w:rsidRPr="00A45A9F">
        <w:t>. 2023</w:t>
      </w:r>
      <w:proofErr w:type="gramStart"/>
      <w:r w:rsidRPr="00A45A9F">
        <w:t>;15</w:t>
      </w:r>
      <w:proofErr w:type="gramEnd"/>
      <w:r w:rsidRPr="00A45A9F">
        <w:t xml:space="preserve">(11):e50886. doi:10.7759/cureus.50886 </w:t>
      </w:r>
    </w:p>
    <w:p w:rsidR="00A45A9F" w:rsidRPr="00A45A9F" w:rsidRDefault="00A45A9F" w:rsidP="00A45A9F">
      <w:pPr>
        <w:pStyle w:val="Body"/>
        <w:numPr>
          <w:ilvl w:val="0"/>
          <w:numId w:val="18"/>
        </w:numPr>
      </w:pPr>
      <w:r w:rsidRPr="00A45A9F">
        <w:t xml:space="preserve">Palin VN, </w:t>
      </w:r>
      <w:proofErr w:type="spellStart"/>
      <w:r w:rsidRPr="00A45A9F">
        <w:t>Manzi</w:t>
      </w:r>
      <w:proofErr w:type="spellEnd"/>
      <w:r w:rsidRPr="00A45A9F">
        <w:t xml:space="preserve"> TE, Osaki BL, </w:t>
      </w:r>
      <w:proofErr w:type="spellStart"/>
      <w:r w:rsidRPr="00A45A9F">
        <w:t>Neto</w:t>
      </w:r>
      <w:proofErr w:type="spellEnd"/>
      <w:r w:rsidRPr="00A45A9F">
        <w:t xml:space="preserve"> NV, Dias MAG, Marques BC, et al. Effectiveness of cardiac rehabilitation after myocardial infarction: a systematic review of survival and quality of life outcomes. Lumen </w:t>
      </w:r>
      <w:proofErr w:type="gramStart"/>
      <w:r w:rsidRPr="00A45A9F">
        <w:t>et</w:t>
      </w:r>
      <w:proofErr w:type="gramEnd"/>
      <w:r w:rsidRPr="00A45A9F">
        <w:t xml:space="preserve"> </w:t>
      </w:r>
      <w:proofErr w:type="spellStart"/>
      <w:r w:rsidRPr="00A45A9F">
        <w:t>Virtus</w:t>
      </w:r>
      <w:proofErr w:type="spellEnd"/>
      <w:r w:rsidRPr="00A45A9F">
        <w:t>. 2025</w:t>
      </w:r>
      <w:proofErr w:type="gramStart"/>
      <w:r w:rsidRPr="00A45A9F">
        <w:t>;16</w:t>
      </w:r>
      <w:proofErr w:type="gramEnd"/>
      <w:r w:rsidRPr="00A45A9F">
        <w:t xml:space="preserve">(54):1-14. doi:10.56238/levv16n54-017 </w:t>
      </w:r>
    </w:p>
    <w:p w:rsidR="00A45A9F" w:rsidRPr="00A45A9F" w:rsidRDefault="00A45A9F" w:rsidP="00A45A9F">
      <w:pPr>
        <w:pStyle w:val="Body"/>
        <w:numPr>
          <w:ilvl w:val="0"/>
          <w:numId w:val="18"/>
        </w:numPr>
      </w:pPr>
      <w:proofErr w:type="spellStart"/>
      <w:r w:rsidRPr="00A45A9F">
        <w:t>Ruivo</w:t>
      </w:r>
      <w:proofErr w:type="spellEnd"/>
      <w:r w:rsidRPr="00A45A9F">
        <w:t xml:space="preserve"> J, </w:t>
      </w:r>
      <w:proofErr w:type="spellStart"/>
      <w:r w:rsidRPr="00A45A9F">
        <w:t>Moholdt</w:t>
      </w:r>
      <w:proofErr w:type="spellEnd"/>
      <w:r w:rsidRPr="00A45A9F">
        <w:t xml:space="preserve"> T, Abreu A. Overview of cardiac rehabilitation following post-acute myocardial infarction in European Society of Cardiology member countries. </w:t>
      </w:r>
      <w:proofErr w:type="spellStart"/>
      <w:r w:rsidRPr="00A45A9F">
        <w:t>Eur</w:t>
      </w:r>
      <w:proofErr w:type="spellEnd"/>
      <w:r w:rsidRPr="00A45A9F">
        <w:t xml:space="preserve"> J </w:t>
      </w:r>
      <w:proofErr w:type="spellStart"/>
      <w:r w:rsidRPr="00A45A9F">
        <w:t>Prev</w:t>
      </w:r>
      <w:proofErr w:type="spellEnd"/>
      <w:r w:rsidRPr="00A45A9F">
        <w:t xml:space="preserve"> </w:t>
      </w:r>
      <w:proofErr w:type="spellStart"/>
      <w:r w:rsidRPr="00A45A9F">
        <w:t>Cardiol</w:t>
      </w:r>
      <w:proofErr w:type="spellEnd"/>
      <w:r w:rsidRPr="00A45A9F">
        <w:t>. 2023</w:t>
      </w:r>
      <w:proofErr w:type="gramStart"/>
      <w:r w:rsidRPr="00A45A9F">
        <w:t>;30</w:t>
      </w:r>
      <w:proofErr w:type="gramEnd"/>
      <w:r w:rsidRPr="00A45A9F">
        <w:t>(7):765-774. doi:10.1093/</w:t>
      </w:r>
      <w:proofErr w:type="spellStart"/>
      <w:r w:rsidRPr="00A45A9F">
        <w:t>eurjpc</w:t>
      </w:r>
      <w:proofErr w:type="spellEnd"/>
      <w:r w:rsidRPr="00A45A9F">
        <w:t xml:space="preserve">/zwad024 </w:t>
      </w:r>
    </w:p>
    <w:p w:rsidR="00A45A9F" w:rsidRPr="00A45A9F" w:rsidRDefault="00A45A9F" w:rsidP="00A45A9F">
      <w:pPr>
        <w:pStyle w:val="Body"/>
        <w:numPr>
          <w:ilvl w:val="0"/>
          <w:numId w:val="18"/>
        </w:numPr>
      </w:pPr>
      <w:proofErr w:type="spellStart"/>
      <w:r w:rsidRPr="00A45A9F">
        <w:t>Agam</w:t>
      </w:r>
      <w:proofErr w:type="spellEnd"/>
      <w:r w:rsidRPr="00A45A9F">
        <w:t xml:space="preserve"> A, </w:t>
      </w:r>
      <w:proofErr w:type="spellStart"/>
      <w:r w:rsidRPr="00A45A9F">
        <w:t>Vadsholt</w:t>
      </w:r>
      <w:proofErr w:type="spellEnd"/>
      <w:r w:rsidRPr="00A45A9F">
        <w:t xml:space="preserve"> D, </w:t>
      </w:r>
      <w:proofErr w:type="spellStart"/>
      <w:r w:rsidRPr="00A45A9F">
        <w:t>Kragholm</w:t>
      </w:r>
      <w:proofErr w:type="spellEnd"/>
      <w:r w:rsidRPr="00A45A9F">
        <w:t xml:space="preserve"> K, </w:t>
      </w:r>
      <w:proofErr w:type="spellStart"/>
      <w:r w:rsidRPr="00A45A9F">
        <w:t>Østergaard</w:t>
      </w:r>
      <w:proofErr w:type="spellEnd"/>
      <w:r w:rsidRPr="00A45A9F">
        <w:t xml:space="preserve"> LKM, </w:t>
      </w:r>
      <w:proofErr w:type="spellStart"/>
      <w:r w:rsidRPr="00A45A9F">
        <w:t>Stæhr</w:t>
      </w:r>
      <w:proofErr w:type="spellEnd"/>
      <w:r w:rsidRPr="00A45A9F">
        <w:t xml:space="preserve"> PB, Nielsen G, et al. Association between cardiac rehabilitation and LDL-levels, adherence to guideline-recommended medication and mortality rate after myocardial infarction. </w:t>
      </w:r>
      <w:proofErr w:type="spellStart"/>
      <w:r w:rsidRPr="00A45A9F">
        <w:t>Int</w:t>
      </w:r>
      <w:proofErr w:type="spellEnd"/>
      <w:r w:rsidRPr="00A45A9F">
        <w:t xml:space="preserve"> J </w:t>
      </w:r>
      <w:proofErr w:type="spellStart"/>
      <w:r w:rsidRPr="00A45A9F">
        <w:t>Cardiol</w:t>
      </w:r>
      <w:proofErr w:type="spellEnd"/>
      <w:r w:rsidRPr="00A45A9F">
        <w:t xml:space="preserve"> </w:t>
      </w:r>
      <w:proofErr w:type="spellStart"/>
      <w:r w:rsidRPr="00A45A9F">
        <w:t>Cardiovasc</w:t>
      </w:r>
      <w:proofErr w:type="spellEnd"/>
      <w:r w:rsidRPr="00A45A9F">
        <w:t xml:space="preserve"> Risk Prev. 2025</w:t>
      </w:r>
      <w:proofErr w:type="gramStart"/>
      <w:r w:rsidRPr="00A45A9F">
        <w:t>;26:200444</w:t>
      </w:r>
      <w:proofErr w:type="gramEnd"/>
      <w:r w:rsidRPr="00A45A9F">
        <w:t xml:space="preserve">. doi:10.1016/j.ijcrp.2025.200444 </w:t>
      </w:r>
    </w:p>
    <w:p w:rsidR="00A45A9F" w:rsidRPr="00A45A9F" w:rsidRDefault="00A45A9F" w:rsidP="00A45A9F">
      <w:pPr>
        <w:pStyle w:val="Body"/>
        <w:numPr>
          <w:ilvl w:val="0"/>
          <w:numId w:val="18"/>
        </w:numPr>
      </w:pPr>
      <w:proofErr w:type="spellStart"/>
      <w:r w:rsidRPr="00A45A9F">
        <w:t>Aleksova</w:t>
      </w:r>
      <w:proofErr w:type="spellEnd"/>
      <w:r w:rsidRPr="00A45A9F">
        <w:t xml:space="preserve"> A, </w:t>
      </w:r>
      <w:proofErr w:type="spellStart"/>
      <w:r w:rsidRPr="00A45A9F">
        <w:t>Fluca</w:t>
      </w:r>
      <w:proofErr w:type="spellEnd"/>
      <w:r w:rsidRPr="00A45A9F">
        <w:t xml:space="preserve"> A, Beltrami A, </w:t>
      </w:r>
      <w:proofErr w:type="spellStart"/>
      <w:r w:rsidRPr="00A45A9F">
        <w:t>Dozio</w:t>
      </w:r>
      <w:proofErr w:type="spellEnd"/>
      <w:r w:rsidRPr="00A45A9F">
        <w:t xml:space="preserve"> E, </w:t>
      </w:r>
      <w:proofErr w:type="spellStart"/>
      <w:r w:rsidRPr="00A45A9F">
        <w:t>Sinagra</w:t>
      </w:r>
      <w:proofErr w:type="spellEnd"/>
      <w:r w:rsidRPr="00A45A9F">
        <w:t xml:space="preserve"> G, </w:t>
      </w:r>
      <w:proofErr w:type="spellStart"/>
      <w:r w:rsidRPr="00A45A9F">
        <w:t>Marketou</w:t>
      </w:r>
      <w:proofErr w:type="spellEnd"/>
      <w:r w:rsidRPr="00A45A9F">
        <w:t xml:space="preserve"> M, et al. Cardiac rehabilitation after an acute myocardial infarction: four phases of the </w:t>
      </w:r>
      <w:proofErr w:type="spellStart"/>
      <w:r w:rsidRPr="00A45A9F">
        <w:t>programme</w:t>
      </w:r>
      <w:proofErr w:type="spellEnd"/>
      <w:r w:rsidRPr="00A45A9F">
        <w:t xml:space="preserve">. J </w:t>
      </w:r>
      <w:proofErr w:type="spellStart"/>
      <w:r w:rsidRPr="00A45A9F">
        <w:t>Clin</w:t>
      </w:r>
      <w:proofErr w:type="spellEnd"/>
      <w:r w:rsidRPr="00A45A9F">
        <w:t xml:space="preserve"> Med. 2025</w:t>
      </w:r>
      <w:proofErr w:type="gramStart"/>
      <w:r w:rsidRPr="00A45A9F">
        <w:t>;14</w:t>
      </w:r>
      <w:proofErr w:type="gramEnd"/>
      <w:r w:rsidRPr="00A45A9F">
        <w:t xml:space="preserve">(4):1117. doi:10.3390/jcm14041117 </w:t>
      </w:r>
    </w:p>
    <w:p w:rsidR="00A45A9F" w:rsidRPr="00A45A9F" w:rsidRDefault="00A45A9F" w:rsidP="00A45A9F">
      <w:pPr>
        <w:pStyle w:val="Body"/>
        <w:numPr>
          <w:ilvl w:val="0"/>
          <w:numId w:val="18"/>
        </w:numPr>
      </w:pPr>
      <w:r w:rsidRPr="00A45A9F">
        <w:t xml:space="preserve">Lee JH, Kim J, Sun B, </w:t>
      </w:r>
      <w:proofErr w:type="spellStart"/>
      <w:r w:rsidRPr="00A45A9F">
        <w:t>Jee</w:t>
      </w:r>
      <w:proofErr w:type="spellEnd"/>
      <w:r w:rsidRPr="00A45A9F">
        <w:t xml:space="preserve"> S, Park JH. Effect of cardiac rehabilitation on left ventricular diastolic function in patients with acute myocardial infarction. J </w:t>
      </w:r>
      <w:proofErr w:type="spellStart"/>
      <w:r w:rsidRPr="00A45A9F">
        <w:t>Clin</w:t>
      </w:r>
      <w:proofErr w:type="spellEnd"/>
      <w:r w:rsidRPr="00A45A9F">
        <w:t xml:space="preserve"> Med. 2021</w:t>
      </w:r>
      <w:proofErr w:type="gramStart"/>
      <w:r w:rsidRPr="00A45A9F">
        <w:t>;10</w:t>
      </w:r>
      <w:proofErr w:type="gramEnd"/>
      <w:r w:rsidRPr="00A45A9F">
        <w:t xml:space="preserve">(10):2088. doi:10.3390/jcm10102088 </w:t>
      </w:r>
    </w:p>
    <w:p w:rsidR="00A45A9F" w:rsidRPr="00A45A9F" w:rsidRDefault="00A45A9F" w:rsidP="00A45A9F">
      <w:pPr>
        <w:pStyle w:val="Body"/>
        <w:numPr>
          <w:ilvl w:val="0"/>
          <w:numId w:val="18"/>
        </w:numPr>
      </w:pPr>
      <w:r w:rsidRPr="00A45A9F">
        <w:t xml:space="preserve">Shah ZA, Jamal QM, </w:t>
      </w:r>
      <w:proofErr w:type="spellStart"/>
      <w:r w:rsidRPr="00A45A9F">
        <w:t>Ullah</w:t>
      </w:r>
      <w:proofErr w:type="spellEnd"/>
      <w:r w:rsidRPr="00A45A9F">
        <w:t xml:space="preserve"> N, Ahmad T, Ahmed M. Effectiveness of cardiac rehabilitation in myocardial infarction patients after percutaneous coronary intervention. </w:t>
      </w:r>
      <w:proofErr w:type="spellStart"/>
      <w:r w:rsidRPr="00A45A9F">
        <w:t>Cureus</w:t>
      </w:r>
      <w:proofErr w:type="spellEnd"/>
      <w:r w:rsidRPr="00A45A9F">
        <w:t>. 2022</w:t>
      </w:r>
      <w:proofErr w:type="gramStart"/>
      <w:r w:rsidRPr="00A45A9F">
        <w:t>;14</w:t>
      </w:r>
      <w:proofErr w:type="gramEnd"/>
      <w:r w:rsidRPr="00A45A9F">
        <w:t xml:space="preserve">(7):e26684. doi:10.7759/cureus.26684 </w:t>
      </w:r>
    </w:p>
    <w:p w:rsidR="00A45A9F" w:rsidRPr="00A45A9F" w:rsidRDefault="00A45A9F" w:rsidP="00A45A9F">
      <w:pPr>
        <w:pStyle w:val="Body"/>
        <w:numPr>
          <w:ilvl w:val="0"/>
          <w:numId w:val="18"/>
        </w:numPr>
      </w:pPr>
      <w:proofErr w:type="spellStart"/>
      <w:r w:rsidRPr="00A45A9F">
        <w:t>Novaković</w:t>
      </w:r>
      <w:proofErr w:type="spellEnd"/>
      <w:r w:rsidRPr="00A45A9F">
        <w:t xml:space="preserve"> M, Novak T, </w:t>
      </w:r>
      <w:proofErr w:type="spellStart"/>
      <w:r w:rsidRPr="00A45A9F">
        <w:t>Cuderman</w:t>
      </w:r>
      <w:proofErr w:type="spellEnd"/>
      <w:r w:rsidRPr="00A45A9F">
        <w:t xml:space="preserve"> TV, </w:t>
      </w:r>
      <w:proofErr w:type="spellStart"/>
      <w:r w:rsidRPr="00A45A9F">
        <w:t>Krevel</w:t>
      </w:r>
      <w:proofErr w:type="spellEnd"/>
      <w:r w:rsidRPr="00A45A9F">
        <w:t xml:space="preserve"> B, </w:t>
      </w:r>
      <w:proofErr w:type="spellStart"/>
      <w:r w:rsidRPr="00A45A9F">
        <w:t>Tasič</w:t>
      </w:r>
      <w:proofErr w:type="spellEnd"/>
      <w:r w:rsidRPr="00A45A9F">
        <w:t xml:space="preserve"> J, </w:t>
      </w:r>
      <w:proofErr w:type="spellStart"/>
      <w:r w:rsidRPr="00A45A9F">
        <w:t>Rajkovič</w:t>
      </w:r>
      <w:proofErr w:type="spellEnd"/>
      <w:r w:rsidRPr="00A45A9F">
        <w:t xml:space="preserve"> U, et al. Exercise capacity improvement after cardiac rehabilitation following myocardial infarction and its association with long-term cardiovascular events. </w:t>
      </w:r>
      <w:proofErr w:type="spellStart"/>
      <w:r w:rsidRPr="00A45A9F">
        <w:t>Eur</w:t>
      </w:r>
      <w:proofErr w:type="spellEnd"/>
      <w:r w:rsidRPr="00A45A9F">
        <w:t xml:space="preserve"> J </w:t>
      </w:r>
      <w:proofErr w:type="spellStart"/>
      <w:r w:rsidRPr="00A45A9F">
        <w:t>Cardiovasc</w:t>
      </w:r>
      <w:proofErr w:type="spellEnd"/>
      <w:r w:rsidRPr="00A45A9F">
        <w:t xml:space="preserve"> </w:t>
      </w:r>
      <w:proofErr w:type="spellStart"/>
      <w:r w:rsidRPr="00A45A9F">
        <w:t>Nurs</w:t>
      </w:r>
      <w:proofErr w:type="spellEnd"/>
      <w:r w:rsidRPr="00A45A9F">
        <w:t>. 2021</w:t>
      </w:r>
      <w:proofErr w:type="gramStart"/>
      <w:r w:rsidRPr="00A45A9F">
        <w:t>;20</w:t>
      </w:r>
      <w:proofErr w:type="gramEnd"/>
      <w:r w:rsidRPr="00A45A9F">
        <w:t>(7):676-684. doi:10.1093/</w:t>
      </w:r>
      <w:proofErr w:type="spellStart"/>
      <w:r w:rsidRPr="00A45A9F">
        <w:t>eurjcn</w:t>
      </w:r>
      <w:proofErr w:type="spellEnd"/>
      <w:r w:rsidRPr="00A45A9F">
        <w:t xml:space="preserve">/zvab015 </w:t>
      </w:r>
    </w:p>
    <w:p w:rsidR="00A45A9F" w:rsidRPr="00A45A9F" w:rsidRDefault="00A45A9F" w:rsidP="00A45A9F">
      <w:pPr>
        <w:pStyle w:val="Body"/>
        <w:numPr>
          <w:ilvl w:val="0"/>
          <w:numId w:val="18"/>
        </w:numPr>
      </w:pPr>
      <w:proofErr w:type="spellStart"/>
      <w:r w:rsidRPr="00A45A9F">
        <w:t>Trevlaki</w:t>
      </w:r>
      <w:proofErr w:type="spellEnd"/>
      <w:r w:rsidRPr="00A45A9F">
        <w:t xml:space="preserve"> E, </w:t>
      </w:r>
      <w:proofErr w:type="spellStart"/>
      <w:r w:rsidRPr="00A45A9F">
        <w:t>Zarra</w:t>
      </w:r>
      <w:proofErr w:type="spellEnd"/>
      <w:r w:rsidRPr="00A45A9F">
        <w:t xml:space="preserve"> E, </w:t>
      </w:r>
      <w:proofErr w:type="spellStart"/>
      <w:r w:rsidRPr="00A45A9F">
        <w:t>Trevlakis</w:t>
      </w:r>
      <w:proofErr w:type="spellEnd"/>
      <w:r w:rsidRPr="00A45A9F">
        <w:t xml:space="preserve"> E. Effect of exercise-based cardiac rehabilitation on cardio metabolic risk profile at patients after myocardial infarction. </w:t>
      </w:r>
      <w:proofErr w:type="spellStart"/>
      <w:r w:rsidRPr="00A45A9F">
        <w:t>Int</w:t>
      </w:r>
      <w:proofErr w:type="spellEnd"/>
      <w:r w:rsidRPr="00A45A9F">
        <w:t xml:space="preserve"> J </w:t>
      </w:r>
      <w:proofErr w:type="spellStart"/>
      <w:r w:rsidRPr="00A45A9F">
        <w:t>Sci</w:t>
      </w:r>
      <w:proofErr w:type="spellEnd"/>
      <w:r w:rsidRPr="00A45A9F">
        <w:t xml:space="preserve"> Res Arch. 2022</w:t>
      </w:r>
      <w:proofErr w:type="gramStart"/>
      <w:r w:rsidRPr="00A45A9F">
        <w:t>;7</w:t>
      </w:r>
      <w:proofErr w:type="gramEnd"/>
      <w:r w:rsidRPr="00A45A9F">
        <w:t xml:space="preserve">(1):195-203. doi:10.30574/ijsra.2022.7.1.0195 </w:t>
      </w:r>
    </w:p>
    <w:p w:rsidR="00A45A9F" w:rsidRPr="00A45A9F" w:rsidRDefault="00A45A9F" w:rsidP="00A45A9F">
      <w:pPr>
        <w:pStyle w:val="Body"/>
        <w:numPr>
          <w:ilvl w:val="0"/>
          <w:numId w:val="18"/>
        </w:numPr>
      </w:pPr>
      <w:proofErr w:type="spellStart"/>
      <w:r w:rsidRPr="00A45A9F">
        <w:lastRenderedPageBreak/>
        <w:t>Tonet</w:t>
      </w:r>
      <w:proofErr w:type="spellEnd"/>
      <w:r w:rsidRPr="00A45A9F">
        <w:t xml:space="preserve"> E, </w:t>
      </w:r>
      <w:proofErr w:type="spellStart"/>
      <w:r w:rsidRPr="00A45A9F">
        <w:t>Sabato</w:t>
      </w:r>
      <w:proofErr w:type="spellEnd"/>
      <w:r w:rsidRPr="00A45A9F">
        <w:t xml:space="preserve"> F, </w:t>
      </w:r>
      <w:proofErr w:type="spellStart"/>
      <w:r w:rsidRPr="00A45A9F">
        <w:t>Canovi</w:t>
      </w:r>
      <w:proofErr w:type="spellEnd"/>
      <w:r w:rsidRPr="00A45A9F">
        <w:t xml:space="preserve"> L, </w:t>
      </w:r>
      <w:proofErr w:type="spellStart"/>
      <w:r w:rsidRPr="00A45A9F">
        <w:t>Colombi</w:t>
      </w:r>
      <w:proofErr w:type="spellEnd"/>
      <w:r w:rsidRPr="00A45A9F">
        <w:t xml:space="preserve"> GG, Campo G, </w:t>
      </w:r>
      <w:proofErr w:type="spellStart"/>
      <w:r w:rsidRPr="00A45A9F">
        <w:t>Guardigli</w:t>
      </w:r>
      <w:proofErr w:type="spellEnd"/>
      <w:r w:rsidRPr="00A45A9F">
        <w:t xml:space="preserve"> G, et al. Physical activity and cardiac rehabilitation after myocardial infarction: the risk of obtaining large benefits. </w:t>
      </w:r>
      <w:proofErr w:type="spellStart"/>
      <w:r w:rsidRPr="00A45A9F">
        <w:t>Panminerva</w:t>
      </w:r>
      <w:proofErr w:type="spellEnd"/>
      <w:r w:rsidRPr="00A45A9F">
        <w:t xml:space="preserve"> Med. 2025</w:t>
      </w:r>
      <w:proofErr w:type="gramStart"/>
      <w:r w:rsidRPr="00A45A9F">
        <w:t>;67</w:t>
      </w:r>
      <w:proofErr w:type="gramEnd"/>
      <w:r w:rsidRPr="00A45A9F">
        <w:t xml:space="preserve">(1):45-54. doi:10.23736/S0031-0808.25.05381-9 </w:t>
      </w:r>
    </w:p>
    <w:p w:rsidR="00A45A9F" w:rsidRPr="00A45A9F" w:rsidRDefault="00A45A9F" w:rsidP="00A45A9F">
      <w:pPr>
        <w:pStyle w:val="Body"/>
        <w:numPr>
          <w:ilvl w:val="0"/>
          <w:numId w:val="18"/>
        </w:numPr>
      </w:pPr>
      <w:r w:rsidRPr="00A45A9F">
        <w:t>Marcos-</w:t>
      </w:r>
      <w:proofErr w:type="spellStart"/>
      <w:r w:rsidRPr="00A45A9F">
        <w:t>Garcés</w:t>
      </w:r>
      <w:proofErr w:type="spellEnd"/>
      <w:r w:rsidRPr="00A45A9F">
        <w:t xml:space="preserve"> V, </w:t>
      </w:r>
      <w:proofErr w:type="spellStart"/>
      <w:r w:rsidRPr="00A45A9F">
        <w:t>Bertolín-Boronat</w:t>
      </w:r>
      <w:proofErr w:type="spellEnd"/>
      <w:r w:rsidRPr="00A45A9F">
        <w:t xml:space="preserve"> C, </w:t>
      </w:r>
      <w:proofErr w:type="spellStart"/>
      <w:r w:rsidRPr="00A45A9F">
        <w:t>Merenciano</w:t>
      </w:r>
      <w:proofErr w:type="spellEnd"/>
      <w:r w:rsidRPr="00A45A9F">
        <w:t xml:space="preserve">-González H, Mas MLM, </w:t>
      </w:r>
      <w:proofErr w:type="spellStart"/>
      <w:r w:rsidRPr="00A45A9F">
        <w:t>Alberola</w:t>
      </w:r>
      <w:proofErr w:type="spellEnd"/>
      <w:r w:rsidRPr="00A45A9F">
        <w:t xml:space="preserve"> JIC, </w:t>
      </w:r>
      <w:proofErr w:type="spellStart"/>
      <w:r w:rsidRPr="00A45A9F">
        <w:t>López</w:t>
      </w:r>
      <w:proofErr w:type="spellEnd"/>
      <w:r w:rsidRPr="00A45A9F">
        <w:t xml:space="preserve">-Bueno L, et al. Left ventricular remodeling after myocardial infarction—pathophysiology, diagnostic approach and management during cardiac rehabilitation. </w:t>
      </w:r>
      <w:proofErr w:type="spellStart"/>
      <w:r w:rsidRPr="00A45A9F">
        <w:t>Int</w:t>
      </w:r>
      <w:proofErr w:type="spellEnd"/>
      <w:r w:rsidRPr="00A45A9F">
        <w:t xml:space="preserve"> J </w:t>
      </w:r>
      <w:proofErr w:type="spellStart"/>
      <w:r w:rsidRPr="00A45A9F">
        <w:t>Mol</w:t>
      </w:r>
      <w:proofErr w:type="spellEnd"/>
      <w:r w:rsidRPr="00A45A9F">
        <w:t xml:space="preserve"> Sci. 2025</w:t>
      </w:r>
      <w:proofErr w:type="gramStart"/>
      <w:r w:rsidRPr="00A45A9F">
        <w:t>;26</w:t>
      </w:r>
      <w:proofErr w:type="gramEnd"/>
      <w:r w:rsidRPr="00A45A9F">
        <w:t xml:space="preserve">(22):10964. doi:10.3390/ijms262210964 </w:t>
      </w:r>
    </w:p>
    <w:p w:rsidR="00A45A9F" w:rsidRPr="00A45A9F" w:rsidRDefault="00A45A9F" w:rsidP="00A45A9F">
      <w:pPr>
        <w:pStyle w:val="Body"/>
        <w:numPr>
          <w:ilvl w:val="0"/>
          <w:numId w:val="18"/>
        </w:numPr>
      </w:pPr>
      <w:proofErr w:type="spellStart"/>
      <w:r w:rsidRPr="00A45A9F">
        <w:t>Aleksova</w:t>
      </w:r>
      <w:proofErr w:type="spellEnd"/>
      <w:r w:rsidRPr="00A45A9F">
        <w:t xml:space="preserve"> A, </w:t>
      </w:r>
      <w:proofErr w:type="spellStart"/>
      <w:r w:rsidRPr="00A45A9F">
        <w:t>Fluca</w:t>
      </w:r>
      <w:proofErr w:type="spellEnd"/>
      <w:r w:rsidRPr="00A45A9F">
        <w:t xml:space="preserve"> A, Beltrami A, </w:t>
      </w:r>
      <w:proofErr w:type="spellStart"/>
      <w:r w:rsidRPr="00A45A9F">
        <w:t>Dozio</w:t>
      </w:r>
      <w:proofErr w:type="spellEnd"/>
      <w:r w:rsidRPr="00A45A9F">
        <w:t xml:space="preserve"> E, </w:t>
      </w:r>
      <w:proofErr w:type="spellStart"/>
      <w:r w:rsidRPr="00A45A9F">
        <w:t>Sinagra</w:t>
      </w:r>
      <w:proofErr w:type="spellEnd"/>
      <w:r w:rsidRPr="00A45A9F">
        <w:t xml:space="preserve"> G, </w:t>
      </w:r>
      <w:proofErr w:type="spellStart"/>
      <w:r w:rsidRPr="00A45A9F">
        <w:t>Marketou</w:t>
      </w:r>
      <w:proofErr w:type="spellEnd"/>
      <w:r w:rsidRPr="00A45A9F">
        <w:t xml:space="preserve"> M, et al. Cardiac rehabilitation after acute myocardial infarction: timing and gender differences in adherence. J </w:t>
      </w:r>
      <w:proofErr w:type="spellStart"/>
      <w:r w:rsidRPr="00A45A9F">
        <w:t>Clin</w:t>
      </w:r>
      <w:proofErr w:type="spellEnd"/>
      <w:r w:rsidRPr="00A45A9F">
        <w:t xml:space="preserve"> Med. 2025</w:t>
      </w:r>
      <w:proofErr w:type="gramStart"/>
      <w:r w:rsidRPr="00A45A9F">
        <w:t>;14</w:t>
      </w:r>
      <w:proofErr w:type="gramEnd"/>
      <w:r w:rsidRPr="00A45A9F">
        <w:t xml:space="preserve">(4):1189. doi:10.3390/jcm14041189 </w:t>
      </w:r>
    </w:p>
    <w:p w:rsidR="00A45A9F" w:rsidRPr="00A45A9F" w:rsidRDefault="00A45A9F" w:rsidP="00A45A9F">
      <w:pPr>
        <w:pStyle w:val="Body"/>
        <w:numPr>
          <w:ilvl w:val="0"/>
          <w:numId w:val="18"/>
        </w:numPr>
      </w:pPr>
      <w:proofErr w:type="spellStart"/>
      <w:r w:rsidRPr="00A45A9F">
        <w:t>Nemani</w:t>
      </w:r>
      <w:proofErr w:type="spellEnd"/>
      <w:r w:rsidRPr="00A45A9F">
        <w:t xml:space="preserve"> RRS, </w:t>
      </w:r>
      <w:proofErr w:type="spellStart"/>
      <w:r w:rsidRPr="00A45A9F">
        <w:t>Gade</w:t>
      </w:r>
      <w:proofErr w:type="spellEnd"/>
      <w:r w:rsidRPr="00A45A9F">
        <w:t xml:space="preserve"> BS, </w:t>
      </w:r>
      <w:proofErr w:type="spellStart"/>
      <w:r w:rsidRPr="00A45A9F">
        <w:t>Panchumarthi</w:t>
      </w:r>
      <w:proofErr w:type="spellEnd"/>
      <w:r w:rsidRPr="00A45A9F">
        <w:t xml:space="preserve"> D, </w:t>
      </w:r>
      <w:proofErr w:type="spellStart"/>
      <w:r w:rsidRPr="00A45A9F">
        <w:t>Bathula</w:t>
      </w:r>
      <w:proofErr w:type="spellEnd"/>
      <w:r w:rsidRPr="00A45A9F">
        <w:t xml:space="preserve"> BVSR, </w:t>
      </w:r>
      <w:proofErr w:type="spellStart"/>
      <w:r w:rsidRPr="00A45A9F">
        <w:t>Panjiyar</w:t>
      </w:r>
      <w:proofErr w:type="spellEnd"/>
      <w:r w:rsidRPr="00A45A9F">
        <w:t xml:space="preserve"> BK. Role of cardiac rehabilitation in improving outcomes after myocardial infarction. </w:t>
      </w:r>
      <w:proofErr w:type="spellStart"/>
      <w:proofErr w:type="gramStart"/>
      <w:r w:rsidRPr="00A45A9F">
        <w:t>medRxiv</w:t>
      </w:r>
      <w:proofErr w:type="spellEnd"/>
      <w:proofErr w:type="gramEnd"/>
      <w:r w:rsidRPr="00A45A9F">
        <w:t xml:space="preserve"> [Preprint]. 2023. doi:10.1101/2023.10.20.23297313 </w:t>
      </w:r>
    </w:p>
    <w:p w:rsidR="00A45A9F" w:rsidRPr="00A45A9F" w:rsidRDefault="00A45A9F" w:rsidP="00A45A9F">
      <w:pPr>
        <w:pStyle w:val="Body"/>
        <w:rPr>
          <w:rFonts w:cstheme="majorBidi"/>
          <w:color w:val="000000" w:themeColor="text1"/>
        </w:rPr>
      </w:pPr>
    </w:p>
    <w:p w:rsidR="00441E67" w:rsidRPr="004175AC" w:rsidRDefault="00441E67" w:rsidP="00A45A9F">
      <w:pPr>
        <w:pStyle w:val="Body"/>
      </w:pPr>
      <w:bookmarkStart w:id="0" w:name="_GoBack"/>
      <w:bookmarkEnd w:id="0"/>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66" w:rsidRDefault="00475E66" w:rsidP="005146DA">
      <w:pPr>
        <w:spacing w:after="0" w:line="240" w:lineRule="auto"/>
      </w:pPr>
      <w:r>
        <w:separator/>
      </w:r>
    </w:p>
  </w:endnote>
  <w:endnote w:type="continuationSeparator" w:id="0">
    <w:p w:rsidR="00475E66" w:rsidRDefault="00475E66"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66" w:rsidRDefault="00475E66" w:rsidP="005146DA">
      <w:pPr>
        <w:spacing w:after="0" w:line="240" w:lineRule="auto"/>
      </w:pPr>
      <w:r>
        <w:separator/>
      </w:r>
    </w:p>
  </w:footnote>
  <w:footnote w:type="continuationSeparator" w:id="0">
    <w:p w:rsidR="00475E66" w:rsidRDefault="00475E66"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A45A9F">
          <w:rPr>
            <w:rStyle w:val="BodyChar"/>
            <w:rFonts w:cstheme="majorBidi"/>
            <w:color w:val="074F6A"/>
            <w:sz w:val="18"/>
            <w:vertAlign w:val="subscript"/>
          </w:rPr>
          <w:t>2006</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A45A9F" w:rsidRPr="00A45A9F">
          <w:rPr>
            <w:rStyle w:val="BodyChar"/>
            <w:rFonts w:cstheme="majorBidi"/>
            <w:noProof/>
            <w:color w:val="074F6A"/>
            <w:vertAlign w:val="subscript"/>
          </w:rPr>
          <w:t>9</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A45A9F" w:rsidRPr="00A45A9F">
      <w:rPr>
        <w:rFonts w:ascii="Plantagenet Cherokee" w:hAnsi="Plantagenet Cherokee"/>
        <w:color w:val="0B769F" w:themeColor="accent4" w:themeShade="BF"/>
        <w:sz w:val="14"/>
        <w:szCs w:val="14"/>
      </w:rPr>
      <w:t>10.61919/jhrr.v6i5.2006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44447D"/>
    <w:multiLevelType w:val="multilevel"/>
    <w:tmpl w:val="79AC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7">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787586"/>
    <w:multiLevelType w:val="hybridMultilevel"/>
    <w:tmpl w:val="E8084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7"/>
  </w:num>
  <w:num w:numId="4">
    <w:abstractNumId w:val="13"/>
  </w:num>
  <w:num w:numId="5">
    <w:abstractNumId w:val="14"/>
  </w:num>
  <w:num w:numId="6">
    <w:abstractNumId w:val="4"/>
  </w:num>
  <w:num w:numId="7">
    <w:abstractNumId w:val="16"/>
  </w:num>
  <w:num w:numId="8">
    <w:abstractNumId w:val="10"/>
  </w:num>
  <w:num w:numId="9">
    <w:abstractNumId w:val="2"/>
  </w:num>
  <w:num w:numId="10">
    <w:abstractNumId w:val="12"/>
  </w:num>
  <w:num w:numId="11">
    <w:abstractNumId w:val="3"/>
  </w:num>
  <w:num w:numId="12">
    <w:abstractNumId w:val="0"/>
  </w:num>
  <w:num w:numId="13">
    <w:abstractNumId w:val="5"/>
  </w:num>
  <w:num w:numId="14">
    <w:abstractNumId w:val="8"/>
  </w:num>
  <w:num w:numId="15">
    <w:abstractNumId w:val="17"/>
  </w:num>
  <w:num w:numId="16">
    <w:abstractNumId w:val="11"/>
  </w:num>
  <w:num w:numId="17">
    <w:abstractNumId w:val="1"/>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0E"/>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40E"/>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5E66"/>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A9F"/>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42F5ED75-809D-4643-89CA-4BE34C43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20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03E2-7E19-4062-8DA6-5721D48D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16</TotalTime>
  <Pages>9</Pages>
  <Words>5734</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1</cp:revision>
  <cp:lastPrinted>2026-04-24T11:38:00Z</cp:lastPrinted>
  <dcterms:created xsi:type="dcterms:W3CDTF">2026-06-04T08:24:00Z</dcterms:created>
  <dcterms:modified xsi:type="dcterms:W3CDTF">2026-06-04T08:43:00Z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