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5C4F64" w:rsidRPr="00BB7230" w:rsidRDefault="007A224C" w:rsidP="00335DDB">
      <w:pPr>
        <w:pStyle w:val="Body"/>
        <w:tabs>
          <w:tab w:val="left" w:pos="3888"/>
        </w:tabs>
        <w:spacing w:line="240" w:lineRule="auto"/>
        <w:rPr>
          <w:rFonts w:cstheme="majorBidi"/>
          <w:b/>
          <w:bCs/>
          <w:color w:val="000000" w:themeColor="text1"/>
          <w:sz w:val="36"/>
          <w:szCs w:val="36"/>
        </w:rPr>
      </w:pPr>
      <w:r w:rsidRPr="007A224C">
        <w:rPr>
          <w:rFonts w:cstheme="majorBidi"/>
          <w:b/>
          <w:bCs/>
          <w:color w:val="000000" w:themeColor="text1"/>
          <w:sz w:val="36"/>
          <w:szCs w:val="36"/>
          <w:lang w:val="en-GB"/>
        </w:rPr>
        <w:t>Association Between Glycemic Control and Diabetic Peripheral Neuropathy Among Patients With Type 2 Diabetes Mellitus: A Cross-Sectional Analytical Study</w:t>
      </w:r>
    </w:p>
    <w:p w:rsidR="00E202E9" w:rsidRPr="00BB7230" w:rsidRDefault="007C1877" w:rsidP="007C1877">
      <w:pPr>
        <w:pStyle w:val="Body"/>
        <w:spacing w:before="75" w:after="100"/>
        <w:rPr>
          <w:rFonts w:cstheme="majorBidi"/>
          <w:b/>
          <w:bCs/>
          <w:color w:val="074F6A" w:themeColor="accent4" w:themeShade="80"/>
          <w:sz w:val="24"/>
          <w:szCs w:val="24"/>
        </w:rPr>
      </w:pPr>
      <w:r w:rsidRPr="007C1877">
        <w:rPr>
          <w:rFonts w:cstheme="majorBidi"/>
          <w:b/>
          <w:bCs/>
          <w:color w:val="074F6A" w:themeColor="accent4" w:themeShade="80"/>
          <w:sz w:val="24"/>
          <w:szCs w:val="24"/>
        </w:rPr>
        <w:t xml:space="preserve">Dr. </w:t>
      </w:r>
      <w:r w:rsidR="007A224C" w:rsidRPr="007A224C">
        <w:rPr>
          <w:rFonts w:cstheme="majorBidi"/>
          <w:b/>
          <w:bCs/>
          <w:color w:val="074F6A" w:themeColor="accent4" w:themeShade="80"/>
          <w:sz w:val="24"/>
          <w:szCs w:val="24"/>
          <w:lang w:val="en-GB"/>
        </w:rPr>
        <w:t xml:space="preserve">Ajneeha Fatima </w:t>
      </w:r>
      <w:r w:rsidRPr="007C1877">
        <w:rPr>
          <w:rFonts w:cstheme="majorBidi"/>
          <w:b/>
          <w:bCs/>
          <w:color w:val="074F6A" w:themeColor="accent4" w:themeShade="80"/>
          <w:sz w:val="24"/>
          <w:szCs w:val="24"/>
        </w:rPr>
        <w:t>¹</w:t>
      </w:r>
    </w:p>
    <w:p w:rsidR="00607EA1" w:rsidRPr="00BB7230" w:rsidRDefault="007C1877" w:rsidP="004175AC">
      <w:pPr>
        <w:pStyle w:val="Body"/>
        <w:spacing w:before="75" w:after="75" w:line="240" w:lineRule="auto"/>
        <w:rPr>
          <w:rFonts w:cstheme="majorBidi"/>
          <w:color w:val="000000" w:themeColor="text1"/>
          <w:sz w:val="18"/>
          <w:szCs w:val="16"/>
        </w:rPr>
      </w:pPr>
      <w:r w:rsidRPr="007C1877">
        <w:rPr>
          <w:rFonts w:cstheme="majorBidi"/>
          <w:color w:val="000000" w:themeColor="text1"/>
          <w:sz w:val="18"/>
          <w:szCs w:val="16"/>
        </w:rPr>
        <w:t>¹</w:t>
      </w:r>
      <w:r w:rsidR="007A224C" w:rsidRPr="007A224C">
        <w:rPr>
          <w:rFonts w:asciiTheme="minorHAnsi" w:hAnsiTheme="minorHAnsi" w:cstheme="minorBidi"/>
          <w:kern w:val="0"/>
          <w:sz w:val="22"/>
          <w:szCs w:val="22"/>
          <w14:ligatures w14:val="none"/>
        </w:rPr>
        <w:t xml:space="preserve"> </w:t>
      </w:r>
      <w:r w:rsidR="007A224C">
        <w:rPr>
          <w:rFonts w:cstheme="majorBidi"/>
          <w:color w:val="000000" w:themeColor="text1"/>
          <w:sz w:val="18"/>
          <w:szCs w:val="16"/>
          <w:lang w:val="en-GB"/>
        </w:rPr>
        <w:t>The Islamia University of Baha</w:t>
      </w:r>
      <w:r w:rsidR="007A224C" w:rsidRPr="007A224C">
        <w:rPr>
          <w:rFonts w:cstheme="majorBidi"/>
          <w:color w:val="000000" w:themeColor="text1"/>
          <w:sz w:val="18"/>
          <w:szCs w:val="16"/>
          <w:lang w:val="en-GB"/>
        </w:rPr>
        <w:t>walpur</w:t>
      </w:r>
      <w:r w:rsidRPr="007C1877">
        <w:rPr>
          <w:rFonts w:cstheme="majorBidi"/>
          <w:color w:val="000000" w:themeColor="text1"/>
          <w:sz w:val="18"/>
          <w:szCs w:val="16"/>
        </w:rPr>
        <w:t>, Pakistan</w:t>
      </w:r>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7C1877" w:rsidRPr="007C1877">
        <w:rPr>
          <w:rFonts w:cstheme="majorBidi"/>
          <w:b/>
          <w:bCs/>
          <w:color w:val="074F6A" w:themeColor="accent4" w:themeShade="80"/>
          <w:sz w:val="18"/>
          <w:szCs w:val="16"/>
          <w:lang w:val="pt-BR"/>
        </w:rPr>
        <w:t xml:space="preserve">Dr. </w:t>
      </w:r>
      <w:r w:rsidR="007A224C" w:rsidRPr="007A224C">
        <w:rPr>
          <w:rFonts w:cstheme="majorBidi"/>
          <w:b/>
          <w:bCs/>
          <w:color w:val="074F6A" w:themeColor="accent4" w:themeShade="80"/>
          <w:sz w:val="18"/>
          <w:szCs w:val="16"/>
          <w:lang w:val="en-GB"/>
        </w:rPr>
        <w:t>Ajneeha Fatima</w:t>
      </w:r>
      <w:r w:rsidR="007C1877" w:rsidRPr="007C1877">
        <w:rPr>
          <w:rFonts w:cstheme="majorBidi"/>
          <w:b/>
          <w:bCs/>
          <w:color w:val="074F6A" w:themeColor="accent4" w:themeShade="80"/>
          <w:sz w:val="18"/>
          <w:szCs w:val="16"/>
          <w:lang w:val="pt-BR"/>
        </w:rPr>
        <w:t xml:space="preserve">, </w:t>
      </w:r>
      <w:r w:rsidR="007A224C" w:rsidRPr="007A224C">
        <w:rPr>
          <w:rFonts w:cstheme="majorBidi"/>
          <w:b/>
          <w:bCs/>
          <w:color w:val="074F6A" w:themeColor="accent4" w:themeShade="80"/>
          <w:sz w:val="18"/>
          <w:szCs w:val="16"/>
          <w:lang w:val="en-GB"/>
        </w:rPr>
        <w:t>ajneehafatima002@gmail</w:t>
      </w:r>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r w:rsidR="007A224C">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March</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7A224C">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April</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7A224C">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31 May</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7A224C">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AF; Design: AF; Data Collection: AF; Analysis: AF; Drafting: AF</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007A224C">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University of Lahore</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Pakistan</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7A224C">
      <w:pPr>
        <w:pStyle w:val="Heading1"/>
      </w:pPr>
      <w:r w:rsidRPr="00BB7230">
        <w:t>Abstract</w:t>
      </w:r>
    </w:p>
    <w:p w:rsidR="007A224C" w:rsidRPr="007A224C" w:rsidRDefault="007A224C" w:rsidP="007A224C">
      <w:pPr>
        <w:pStyle w:val="Body"/>
      </w:pPr>
      <w:r w:rsidRPr="007A224C">
        <w:t>Background: Diabetic peripheral neuropathy is one of the most common microvascular complications of diabetes mellitus and is associated with substantial morbidity, impaired quality of life, and increased risk of foot ulceration and lower-limb amputation. Chronic hyperglycemia, prolonged disease duration, and associated metabolic comorbidities contribute to progressive peripheral nerve damage and worsening neurological dysfunction. Objective: To determine the association between glycemic control and diabetic peripheral neuropathy and to identify clinical predictors of poor neuropathic outcomes among patients with diabetes mellitus. Methods: This cross-sectional analytical study was conducted at the University of Lahore Teaching Hospital and included 206 patients with diabetes mellitus. Demographic, biochemical, and clinical variables including HbA1c, duration of diabetes, body mass index, blood pressure, fasting glucose, chronic kidney disease, hypertension, smoking status, vibration perception, and monofilament test findings were assessed. Logistic regression analysis was performed to estimate odds ratios and 95% confidence intervals for predictors of poor clinical outcome. Results: The mean age of participants was 54.8 ± 12.6 years, and the mean HbA1c level was 8.4 ± 1.7%. Poor glycemic control (HbA1c ≥7.0%) was present in 70.9% of participants and was significantly associated with poor clinical outcomes (OR 2.84, 95% CI 1.52–5.31, p=0.001). Each 1% increase in HbA1c increased the odds of poor neuropathic outcome by 42% (OR 1.42, 95% CI 1.18–1.71, p&lt;0.001). Diabetes duration ≥10 years (OR 2.36, 95% CI 1.32–4.21, p=0.004) and chronic kidney disease (OR 1.91, 95% CI 1.02–3.59, p=0.043) were also significantly associated with adverse neuropathic outcomes. Reduced vibration perception and abnormal monofilament test findings were significantly more common among patients with poor outcomes (p&lt;0.001). Conclusion: Poor glycemic control, prolonged diabetes duration, and chronic kidney disease were significant predictors of diabetic peripheral neuropathy and adverse neuropathic outcomes. Early neuropathy screening and optimization of glycemic control may help reduce progression of neurological complications in diabetic patients. Keywords: Diabetes mellitus; diabetic peripheral neuropathy; glycemic control; HbA1c; chronic kidney disease; neuropathy severity; cross-sectional study.</w:t>
      </w:r>
    </w:p>
    <w:p w:rsidR="007A224C" w:rsidRPr="007A224C" w:rsidRDefault="007A224C" w:rsidP="007A224C">
      <w:pPr>
        <w:pStyle w:val="Body"/>
      </w:pPr>
    </w:p>
    <w:p w:rsidR="007A224C" w:rsidRPr="007A224C" w:rsidRDefault="007A224C" w:rsidP="007A224C">
      <w:pPr>
        <w:pStyle w:val="Body"/>
      </w:pPr>
      <w:r w:rsidRPr="007A224C">
        <w:t>Diabetic peripheral neuropathy is one of the most frequent and clinically consequential microvascular complications of diabetes mellitus, contributing to sensory loss, neuropathic pain, gait instability, foot ulceration, infection, amputation risk, and reduced quality of life (1). The burden of diabetic peripheral neuropathy is particularly important in patients with long-standing type 2 diabetes mellitus, in whom chronic metabolic injury, vascular dysfunction, oxidative stress, inflammatory activation, and impaired neuronal repair collectively contribute to progressive peripheral nerve damage (2). Although diabetic neuropathy may remain subclinical in its early stages, delayed recognition can result in irreversible nerve impairment and preventable lower-limb complications, making timely identification of modifiable risk factors central to diabetes care (3).</w:t>
      </w:r>
    </w:p>
    <w:p w:rsidR="007A224C" w:rsidRPr="007A224C" w:rsidRDefault="007A224C" w:rsidP="007A224C">
      <w:pPr>
        <w:pStyle w:val="Body"/>
      </w:pPr>
      <w:r w:rsidRPr="007A224C">
        <w:t xml:space="preserve">Poor glycemic control remains a biologically plausible and clinically important determinant of diabetic peripheral neuropathy. Persistent hyperglycemia promotes advanced glycation end-product formation, mitochondrial dysfunction, microvascular ischemia, Schwann cell injury, and axonal degeneration, thereby accelerating both structural and functional nerve damage (4). Prior evidence has shown that higher HbA1c levels and longer duration of diabetes are associated with increased neuropathy risk, while comorbid conditions such as chronic kidney </w:t>
      </w:r>
      <w:r w:rsidRPr="007A224C">
        <w:lastRenderedPageBreak/>
        <w:t>disease, hypertension, dyslipidemia, obesity, and smoking may further intensify neurovascular injury and worsen clinical outcomes (5). However, the magnitude and consistency of these associations vary across populations, clinical settings, diagnostic approaches, and study designs, indicating the need for context-specific hospital-based evidence.</w:t>
      </w:r>
    </w:p>
    <w:p w:rsidR="007A224C" w:rsidRPr="007A224C" w:rsidRDefault="007A224C" w:rsidP="007A224C">
      <w:pPr>
        <w:pStyle w:val="Body"/>
      </w:pPr>
      <w:r w:rsidRPr="007A224C">
        <w:t xml:space="preserve">In tertiary care and teaching hospital settings, patients often present with multiple overlapping metabolic and vascular risk factors, creating a clinically complex population in which neuropathy risk cannot be attributed to glycemic status alone. In the present analytical study, 206 patients were evaluated, including 103 patients with poor clinical outcomes and 103 without poor clinical outcomes, with recorded variables including age, sex, diabetes duration, HbA1c, body mass index, blood pressure, fasting glucose, comorbidities, neuropathy symptoms, vibration perception, monofilament findings, and neuropathy severity. The available data show that poor glycemic control was common, affecting 146 participants, and that peripheral neuropathy symptoms were present in 103 participants, supporting the clinical relevance of examining HbA1c-related neuropathic outcomes in this population. </w:t>
      </w:r>
    </w:p>
    <w:p w:rsidR="007A224C" w:rsidRPr="007A224C" w:rsidRDefault="007A224C" w:rsidP="007A224C">
      <w:pPr>
        <w:pStyle w:val="Body"/>
      </w:pPr>
      <w:r w:rsidRPr="007A224C">
        <w:t>Despite extensive international literature on diabetic peripheral neuropathy, important gaps remain in the integrated assessment of glycemic control, diabetes duration, renal disease, cardiovascular risk factors, and clinically defined neuropathic outcomes within teaching hospital populations. Many studies describe prevalence or individual risk factors, but fewer provide a clinically interpretable analytical framework that simultaneously evaluates HbA1c status, duration of diabetes, comorbidity burden, and objective neuropathy-related findings such as reduced vibration perception and abnormal monofilament testing. Addressing this gap is important because risk stratification based on routinely available clinical variables may improve early screening, preventive counseling, and multidisciplinary management.</w:t>
      </w:r>
    </w:p>
    <w:p w:rsidR="007A224C" w:rsidRPr="007A224C" w:rsidRDefault="007A224C" w:rsidP="007A224C">
      <w:pPr>
        <w:pStyle w:val="Body"/>
      </w:pPr>
      <w:r w:rsidRPr="007A224C">
        <w:t xml:space="preserve">Therefore, this study aimed to determine the association between glycemic control and diabetic peripheral neuropathy among patients with diabetes mellitus and to evaluate clinical predictors of poor neuropathic outcome. The primary research question was whether poor glycemic control, defined by HbA1c ≥7.0%, is associated with increased odds of poor clinical outcome in patients with diabetes mellitus. The study further hypothesized that longer diabetes duration and selected comorbid conditions, particularly chronic kidney disease, would be associated with poorer neuropathic outcomes. </w:t>
      </w:r>
    </w:p>
    <w:p w:rsidR="007A224C" w:rsidRPr="007A224C" w:rsidRDefault="007A224C" w:rsidP="007A224C">
      <w:pPr>
        <w:pStyle w:val="Body"/>
      </w:pPr>
      <w:r w:rsidRPr="007A224C">
        <w:br/>
        <w:t>Material and methods</w:t>
      </w:r>
    </w:p>
    <w:p w:rsidR="007A224C" w:rsidRPr="007A224C" w:rsidRDefault="007A224C" w:rsidP="007A224C">
      <w:pPr>
        <w:pStyle w:val="Body"/>
      </w:pPr>
      <w:r w:rsidRPr="007A224C">
        <w:t>This cross-sectional analytical study was conducted at the University of Lahore Teaching Hospital, Lahore, Pakistan, among patients with diabetes mellitus attending clinical services. The study was designed to assess the association between glycemic control and diabetic peripheral neuropathy and to identify clinical predictors of poor neuropathic outcomes. A total of 206 participants were included, with 103 patients categorized as having poor clinical outcomes and 103 patients categorized as not having poor clinical outcomes.</w:t>
      </w:r>
    </w:p>
    <w:p w:rsidR="007A224C" w:rsidRPr="007A224C" w:rsidRDefault="007A224C" w:rsidP="007A224C">
      <w:pPr>
        <w:pStyle w:val="Body"/>
      </w:pPr>
      <w:r w:rsidRPr="007A224C">
        <w:t>Adult patients with established diabetes mellitus who underwent routine clinical evaluation, biochemical testing, anthropometric assessment, and neuropathy screening were included. Patients with incomplete records, non-diabetic causes of neuropathy, acute severe illness, or other conditions independently affecting peripheral nerve function were excluded. Participants were selected through consecutive sampling during routine outpatient and inpatient encounters to reduce selection bias and improve clinical representativeness.</w:t>
      </w:r>
    </w:p>
    <w:p w:rsidR="007A224C" w:rsidRPr="007A224C" w:rsidRDefault="007A224C" w:rsidP="007A224C">
      <w:pPr>
        <w:pStyle w:val="Body"/>
      </w:pPr>
      <w:r w:rsidRPr="007A224C">
        <w:t>Data were collected using structured clinical assessment and review of medical records. Recorded variables included age, sex, duration of diabetes, HbA1c, fasting blood glucose, body mass index, systolic and diastolic blood pressure, hypertension, chronic kidney disease, dyslipidemia, smoking status, obesity, peripheral neuropathy symptoms, vibration perception, monofilament test findings, and neuropathy severity. Poor glycemic control was defined as HbA1c ≥7.0%, long duration of diabetes as ≥10 years, and obesity as BMI ≥30 kg/m². Peripheral neuropathy was assessed using symptom evaluation, vibration perception testing, and Semmes–Weinstein monofilament examination. Poor clinical outcome was defined as clinically significant neuropathic involvement based on symptomatic or objective neurological impairment.</w:t>
      </w:r>
    </w:p>
    <w:p w:rsidR="007A224C" w:rsidRPr="007A224C" w:rsidRDefault="007A224C" w:rsidP="007A224C">
      <w:pPr>
        <w:pStyle w:val="Body"/>
      </w:pPr>
      <w:r w:rsidRPr="007A224C">
        <w:t xml:space="preserve">Bias and confounding were addressed through standardized definitions, consecutive recruitment, objective biochemical measurements, and inclusion of clinically relevant predictors in inferential analysis. Data were checked for completeness and consistency before analysis. Continuous variables were reported as mean ± standard deviation, while categorical variables were presented as frequencies and percentages. Group comparisons were </w:t>
      </w:r>
      <w:r w:rsidRPr="007A224C">
        <w:lastRenderedPageBreak/>
        <w:t>performed using independent-sample t-tests for continuous variables and chi-square tests for categorical variables. Logistic regression analysis was used to estimate odds ratios with 95% confidence intervals for predictors of poor clinical outcome. Statistical significance was set at p&lt;0.05.</w:t>
      </w:r>
    </w:p>
    <w:p w:rsidR="007A224C" w:rsidRPr="007A224C" w:rsidRDefault="007A224C" w:rsidP="007A224C">
      <w:pPr>
        <w:pStyle w:val="Body"/>
      </w:pPr>
      <w:r w:rsidRPr="007A224C">
        <w:t>The study was conducted after institutional ethical approval from the University of Lahore Teaching Hospital. Written informed consent was obtained from participants, and confidentiality was maintained by anonymizing all patient data. The study followed standard ethical principles and observational research reporting practices.</w:t>
      </w:r>
    </w:p>
    <w:p w:rsidR="007A224C" w:rsidRPr="007A224C" w:rsidRDefault="007A224C" w:rsidP="007A224C">
      <w:pPr>
        <w:pStyle w:val="Heading1"/>
      </w:pPr>
      <w:r w:rsidRPr="007A224C">
        <w:t>Results</w:t>
      </w:r>
    </w:p>
    <w:p w:rsidR="007A224C" w:rsidRPr="007A224C" w:rsidRDefault="007A224C" w:rsidP="007A224C">
      <w:pPr>
        <w:pStyle w:val="Caption"/>
      </w:pPr>
      <w:r w:rsidRPr="007A224C">
        <w:t>Table 1. Baseline Demographic and Clinical Characteristics of Study Participants (n=206)</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096"/>
        <w:gridCol w:w="1107"/>
        <w:gridCol w:w="2461"/>
        <w:gridCol w:w="2735"/>
        <w:gridCol w:w="628"/>
      </w:tblGrid>
      <w:tr w:rsidR="007A224C" w:rsidRPr="007A224C" w:rsidTr="007A224C">
        <w:trPr>
          <w:tblHeader/>
          <w:tblCellSpacing w:w="0" w:type="dxa"/>
        </w:trPr>
        <w:tc>
          <w:tcPr>
            <w:tcW w:w="1161"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Variable</w:t>
            </w:r>
          </w:p>
        </w:tc>
        <w:tc>
          <w:tcPr>
            <w:tcW w:w="613"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Total (n=206)</w:t>
            </w:r>
          </w:p>
        </w:tc>
        <w:tc>
          <w:tcPr>
            <w:tcW w:w="1363"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Poor Clinical Outcome (n=103)</w:t>
            </w:r>
          </w:p>
        </w:tc>
        <w:tc>
          <w:tcPr>
            <w:tcW w:w="1515"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No Poor Clinical Outcome (n=103)</w:t>
            </w:r>
          </w:p>
        </w:tc>
        <w:tc>
          <w:tcPr>
            <w:tcW w:w="348"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p-value</w:t>
            </w:r>
          </w:p>
        </w:tc>
      </w:tr>
      <w:tr w:rsidR="007A224C" w:rsidRPr="007A224C" w:rsidTr="007A224C">
        <w:trPr>
          <w:tblCellSpacing w:w="0" w:type="dxa"/>
        </w:trPr>
        <w:tc>
          <w:tcPr>
            <w:tcW w:w="1161"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Age, years</w:t>
            </w:r>
          </w:p>
        </w:tc>
        <w:tc>
          <w:tcPr>
            <w:tcW w:w="61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54.8 ± 12.6</w:t>
            </w:r>
          </w:p>
        </w:tc>
        <w:tc>
          <w:tcPr>
            <w:tcW w:w="136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56.7 ± 11.9</w:t>
            </w:r>
          </w:p>
        </w:tc>
        <w:tc>
          <w:tcPr>
            <w:tcW w:w="151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52.9 ± 13.1</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0.041</w:t>
            </w:r>
          </w:p>
        </w:tc>
      </w:tr>
      <w:tr w:rsidR="007A224C" w:rsidRPr="007A224C" w:rsidTr="007A224C">
        <w:trPr>
          <w:tblCellSpacing w:w="0" w:type="dxa"/>
        </w:trPr>
        <w:tc>
          <w:tcPr>
            <w:tcW w:w="1161"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Male sex, n (%)</w:t>
            </w:r>
          </w:p>
        </w:tc>
        <w:tc>
          <w:tcPr>
            <w:tcW w:w="61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112 (54.4%)</w:t>
            </w:r>
          </w:p>
        </w:tc>
        <w:tc>
          <w:tcPr>
            <w:tcW w:w="136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61 (59.2%)</w:t>
            </w:r>
          </w:p>
        </w:tc>
        <w:tc>
          <w:tcPr>
            <w:tcW w:w="151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51 (49.5%)</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0.164</w:t>
            </w:r>
          </w:p>
        </w:tc>
      </w:tr>
      <w:tr w:rsidR="007A224C" w:rsidRPr="007A224C" w:rsidTr="007A224C">
        <w:trPr>
          <w:tblCellSpacing w:w="0" w:type="dxa"/>
        </w:trPr>
        <w:tc>
          <w:tcPr>
            <w:tcW w:w="1161"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Female sex, n (%)</w:t>
            </w:r>
          </w:p>
        </w:tc>
        <w:tc>
          <w:tcPr>
            <w:tcW w:w="61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94 (45.6%)</w:t>
            </w:r>
          </w:p>
        </w:tc>
        <w:tc>
          <w:tcPr>
            <w:tcW w:w="136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42 (40.8%)</w:t>
            </w:r>
          </w:p>
        </w:tc>
        <w:tc>
          <w:tcPr>
            <w:tcW w:w="151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52 (50.5%)</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0.164</w:t>
            </w:r>
          </w:p>
        </w:tc>
      </w:tr>
      <w:tr w:rsidR="007A224C" w:rsidRPr="007A224C" w:rsidTr="007A224C">
        <w:trPr>
          <w:tblCellSpacing w:w="0" w:type="dxa"/>
        </w:trPr>
        <w:tc>
          <w:tcPr>
            <w:tcW w:w="1161"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Duration of diabetes, years</w:t>
            </w:r>
          </w:p>
        </w:tc>
        <w:tc>
          <w:tcPr>
            <w:tcW w:w="61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13.2 ± 6.8</w:t>
            </w:r>
          </w:p>
        </w:tc>
        <w:tc>
          <w:tcPr>
            <w:tcW w:w="136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16.2 ± 6.5</w:t>
            </w:r>
          </w:p>
        </w:tc>
        <w:tc>
          <w:tcPr>
            <w:tcW w:w="151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10.3 ± 5.7</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&lt;0.001</w:t>
            </w:r>
          </w:p>
        </w:tc>
      </w:tr>
      <w:tr w:rsidR="007A224C" w:rsidRPr="007A224C" w:rsidTr="007A224C">
        <w:trPr>
          <w:tblCellSpacing w:w="0" w:type="dxa"/>
        </w:trPr>
        <w:tc>
          <w:tcPr>
            <w:tcW w:w="1161"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HbA1c, %</w:t>
            </w:r>
          </w:p>
        </w:tc>
        <w:tc>
          <w:tcPr>
            <w:tcW w:w="61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8.4 ± 1.7</w:t>
            </w:r>
          </w:p>
        </w:tc>
        <w:tc>
          <w:tcPr>
            <w:tcW w:w="136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9.1 ± 1.6</w:t>
            </w:r>
          </w:p>
        </w:tc>
        <w:tc>
          <w:tcPr>
            <w:tcW w:w="151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7.7 ± 1.4</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&lt;0.001</w:t>
            </w:r>
          </w:p>
        </w:tc>
      </w:tr>
      <w:tr w:rsidR="007A224C" w:rsidRPr="007A224C" w:rsidTr="007A224C">
        <w:trPr>
          <w:tblCellSpacing w:w="0" w:type="dxa"/>
        </w:trPr>
        <w:tc>
          <w:tcPr>
            <w:tcW w:w="1161"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BMI, kg/m²</w:t>
            </w:r>
          </w:p>
        </w:tc>
        <w:tc>
          <w:tcPr>
            <w:tcW w:w="61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28.1 ± 4.9</w:t>
            </w:r>
          </w:p>
        </w:tc>
        <w:tc>
          <w:tcPr>
            <w:tcW w:w="136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28.8 ± 5.1</w:t>
            </w:r>
          </w:p>
        </w:tc>
        <w:tc>
          <w:tcPr>
            <w:tcW w:w="151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27.4 ± 4.6</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0.072</w:t>
            </w:r>
          </w:p>
        </w:tc>
      </w:tr>
      <w:tr w:rsidR="007A224C" w:rsidRPr="007A224C" w:rsidTr="007A224C">
        <w:trPr>
          <w:tblCellSpacing w:w="0" w:type="dxa"/>
        </w:trPr>
        <w:tc>
          <w:tcPr>
            <w:tcW w:w="1161"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Systolic BP, mmHg</w:t>
            </w:r>
          </w:p>
        </w:tc>
        <w:tc>
          <w:tcPr>
            <w:tcW w:w="61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134.6 ± 16.8</w:t>
            </w:r>
          </w:p>
        </w:tc>
        <w:tc>
          <w:tcPr>
            <w:tcW w:w="136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137.9 ± 17.2</w:t>
            </w:r>
          </w:p>
        </w:tc>
        <w:tc>
          <w:tcPr>
            <w:tcW w:w="151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131.3 ± 15.8</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0.009</w:t>
            </w:r>
          </w:p>
        </w:tc>
      </w:tr>
      <w:tr w:rsidR="007A224C" w:rsidRPr="007A224C" w:rsidTr="007A224C">
        <w:trPr>
          <w:tblCellSpacing w:w="0" w:type="dxa"/>
        </w:trPr>
        <w:tc>
          <w:tcPr>
            <w:tcW w:w="1161"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Diastolic BP, mmHg</w:t>
            </w:r>
          </w:p>
        </w:tc>
        <w:tc>
          <w:tcPr>
            <w:tcW w:w="61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82.4 ± 9.7</w:t>
            </w:r>
          </w:p>
        </w:tc>
        <w:tc>
          <w:tcPr>
            <w:tcW w:w="136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83.8 ± 9.4</w:t>
            </w:r>
          </w:p>
        </w:tc>
        <w:tc>
          <w:tcPr>
            <w:tcW w:w="151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81.0 ± 9.8</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0.061</w:t>
            </w:r>
          </w:p>
        </w:tc>
      </w:tr>
      <w:tr w:rsidR="007A224C" w:rsidRPr="007A224C" w:rsidTr="007A224C">
        <w:trPr>
          <w:tblCellSpacing w:w="0" w:type="dxa"/>
        </w:trPr>
        <w:tc>
          <w:tcPr>
            <w:tcW w:w="1161"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Fasting glucose, mg/dL</w:t>
            </w:r>
          </w:p>
        </w:tc>
        <w:tc>
          <w:tcPr>
            <w:tcW w:w="613"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168.5 ± 54.2</w:t>
            </w:r>
          </w:p>
        </w:tc>
        <w:tc>
          <w:tcPr>
            <w:tcW w:w="1363"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184.1 ± 56.8</w:t>
            </w:r>
          </w:p>
        </w:tc>
        <w:tc>
          <w:tcPr>
            <w:tcW w:w="1515"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152.9 ± 47.3</w:t>
            </w:r>
          </w:p>
        </w:tc>
        <w:tc>
          <w:tcPr>
            <w:tcW w:w="348"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&lt;0.001</w:t>
            </w:r>
          </w:p>
        </w:tc>
      </w:tr>
    </w:tbl>
    <w:p w:rsidR="007A224C" w:rsidRPr="007A224C" w:rsidRDefault="007A224C" w:rsidP="007A224C">
      <w:pPr>
        <w:pStyle w:val="Body"/>
      </w:pPr>
      <w:r w:rsidRPr="007A224C">
        <w:pict>
          <v:rect id="_x0000_i1025" style="width:0;height:1.5pt" o:hralign="center" o:hrstd="t" o:hr="t" fillcolor="#a0a0a0" stroked="f"/>
        </w:pict>
      </w:r>
    </w:p>
    <w:p w:rsidR="007A224C" w:rsidRPr="007A224C" w:rsidRDefault="007A224C" w:rsidP="007A224C">
      <w:pPr>
        <w:pStyle w:val="Caption"/>
      </w:pPr>
      <w:r w:rsidRPr="007A224C">
        <w:t>Table 2. Clinical Comorbidities and Neuropathy-Related Variables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869"/>
        <w:gridCol w:w="980"/>
        <w:gridCol w:w="2150"/>
        <w:gridCol w:w="2403"/>
        <w:gridCol w:w="625"/>
      </w:tblGrid>
      <w:tr w:rsidR="007A224C" w:rsidRPr="007A224C" w:rsidTr="007A224C">
        <w:trPr>
          <w:tblHeader/>
          <w:tblCellSpacing w:w="0" w:type="dxa"/>
        </w:trPr>
        <w:tc>
          <w:tcPr>
            <w:tcW w:w="1589"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Variable</w:t>
            </w:r>
          </w:p>
        </w:tc>
        <w:tc>
          <w:tcPr>
            <w:tcW w:w="543"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Total n (%)</w:t>
            </w:r>
          </w:p>
        </w:tc>
        <w:tc>
          <w:tcPr>
            <w:tcW w:w="1191"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Poor Clinical Outcome n (%)</w:t>
            </w:r>
          </w:p>
        </w:tc>
        <w:tc>
          <w:tcPr>
            <w:tcW w:w="1331"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No Poor Clinical Outcome n (%)</w:t>
            </w:r>
          </w:p>
        </w:tc>
        <w:tc>
          <w:tcPr>
            <w:tcW w:w="346"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p-value</w:t>
            </w:r>
          </w:p>
        </w:tc>
      </w:tr>
      <w:tr w:rsidR="007A224C" w:rsidRPr="007A224C" w:rsidTr="007A224C">
        <w:trPr>
          <w:tblCellSpacing w:w="0" w:type="dxa"/>
        </w:trPr>
        <w:tc>
          <w:tcPr>
            <w:tcW w:w="1589"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Poor glycemic control (HbA1c ≥7.0%)</w:t>
            </w:r>
          </w:p>
        </w:tc>
        <w:tc>
          <w:tcPr>
            <w:tcW w:w="54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146 (70.9%)</w:t>
            </w:r>
          </w:p>
        </w:tc>
        <w:tc>
          <w:tcPr>
            <w:tcW w:w="119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86 (83.5%)</w:t>
            </w:r>
          </w:p>
        </w:tc>
        <w:tc>
          <w:tcPr>
            <w:tcW w:w="133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60 (58.3%)</w:t>
            </w:r>
          </w:p>
        </w:tc>
        <w:tc>
          <w:tcPr>
            <w:tcW w:w="3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0.001</w:t>
            </w:r>
          </w:p>
        </w:tc>
      </w:tr>
      <w:tr w:rsidR="007A224C" w:rsidRPr="007A224C" w:rsidTr="007A224C">
        <w:trPr>
          <w:tblCellSpacing w:w="0" w:type="dxa"/>
        </w:trPr>
        <w:tc>
          <w:tcPr>
            <w:tcW w:w="1589"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Diabetes duration ≥10 years</w:t>
            </w:r>
          </w:p>
        </w:tc>
        <w:tc>
          <w:tcPr>
            <w:tcW w:w="54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132 (64.1%)</w:t>
            </w:r>
          </w:p>
        </w:tc>
        <w:tc>
          <w:tcPr>
            <w:tcW w:w="119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79 (76.7%)</w:t>
            </w:r>
          </w:p>
        </w:tc>
        <w:tc>
          <w:tcPr>
            <w:tcW w:w="133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53 (51.5%)</w:t>
            </w:r>
          </w:p>
        </w:tc>
        <w:tc>
          <w:tcPr>
            <w:tcW w:w="3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0.002</w:t>
            </w:r>
          </w:p>
        </w:tc>
      </w:tr>
      <w:tr w:rsidR="007A224C" w:rsidRPr="007A224C" w:rsidTr="007A224C">
        <w:trPr>
          <w:tblCellSpacing w:w="0" w:type="dxa"/>
        </w:trPr>
        <w:tc>
          <w:tcPr>
            <w:tcW w:w="1589"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Hypertension</w:t>
            </w:r>
          </w:p>
        </w:tc>
        <w:tc>
          <w:tcPr>
            <w:tcW w:w="54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118 (57.3%)</w:t>
            </w:r>
          </w:p>
        </w:tc>
        <w:tc>
          <w:tcPr>
            <w:tcW w:w="119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65 (63.1%)</w:t>
            </w:r>
          </w:p>
        </w:tc>
        <w:tc>
          <w:tcPr>
            <w:tcW w:w="133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53 (51.5%)</w:t>
            </w:r>
          </w:p>
        </w:tc>
        <w:tc>
          <w:tcPr>
            <w:tcW w:w="3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0.091</w:t>
            </w:r>
          </w:p>
        </w:tc>
      </w:tr>
      <w:tr w:rsidR="007A224C" w:rsidRPr="007A224C" w:rsidTr="007A224C">
        <w:trPr>
          <w:tblCellSpacing w:w="0" w:type="dxa"/>
        </w:trPr>
        <w:tc>
          <w:tcPr>
            <w:tcW w:w="1589"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Chronic kidney disease</w:t>
            </w:r>
          </w:p>
        </w:tc>
        <w:tc>
          <w:tcPr>
            <w:tcW w:w="54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58 (28.2%)</w:t>
            </w:r>
          </w:p>
        </w:tc>
        <w:tc>
          <w:tcPr>
            <w:tcW w:w="119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37 (35.9%)</w:t>
            </w:r>
          </w:p>
        </w:tc>
        <w:tc>
          <w:tcPr>
            <w:tcW w:w="133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21 (20.4%)</w:t>
            </w:r>
          </w:p>
        </w:tc>
        <w:tc>
          <w:tcPr>
            <w:tcW w:w="3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0.014</w:t>
            </w:r>
          </w:p>
        </w:tc>
      </w:tr>
      <w:tr w:rsidR="007A224C" w:rsidRPr="007A224C" w:rsidTr="007A224C">
        <w:trPr>
          <w:tblCellSpacing w:w="0" w:type="dxa"/>
        </w:trPr>
        <w:tc>
          <w:tcPr>
            <w:tcW w:w="1589"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Dyslipidemia</w:t>
            </w:r>
          </w:p>
        </w:tc>
        <w:tc>
          <w:tcPr>
            <w:tcW w:w="54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124 (60.2%)</w:t>
            </w:r>
          </w:p>
        </w:tc>
        <w:tc>
          <w:tcPr>
            <w:tcW w:w="119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68 (66.0%)</w:t>
            </w:r>
          </w:p>
        </w:tc>
        <w:tc>
          <w:tcPr>
            <w:tcW w:w="133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56 (54.4%)</w:t>
            </w:r>
          </w:p>
        </w:tc>
        <w:tc>
          <w:tcPr>
            <w:tcW w:w="3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0.093</w:t>
            </w:r>
          </w:p>
        </w:tc>
      </w:tr>
      <w:tr w:rsidR="007A224C" w:rsidRPr="007A224C" w:rsidTr="007A224C">
        <w:trPr>
          <w:tblCellSpacing w:w="0" w:type="dxa"/>
        </w:trPr>
        <w:tc>
          <w:tcPr>
            <w:tcW w:w="1589"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Current smoker</w:t>
            </w:r>
          </w:p>
        </w:tc>
        <w:tc>
          <w:tcPr>
            <w:tcW w:w="54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46 (22.3%)</w:t>
            </w:r>
          </w:p>
        </w:tc>
        <w:tc>
          <w:tcPr>
            <w:tcW w:w="119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28 (27.2%)</w:t>
            </w:r>
          </w:p>
        </w:tc>
        <w:tc>
          <w:tcPr>
            <w:tcW w:w="133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18 (17.5%)</w:t>
            </w:r>
          </w:p>
        </w:tc>
        <w:tc>
          <w:tcPr>
            <w:tcW w:w="3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0.096</w:t>
            </w:r>
          </w:p>
        </w:tc>
      </w:tr>
      <w:tr w:rsidR="007A224C" w:rsidRPr="007A224C" w:rsidTr="007A224C">
        <w:trPr>
          <w:tblCellSpacing w:w="0" w:type="dxa"/>
        </w:trPr>
        <w:tc>
          <w:tcPr>
            <w:tcW w:w="1589"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Obesity (BMI ≥30 kg/m²)</w:t>
            </w:r>
          </w:p>
        </w:tc>
        <w:tc>
          <w:tcPr>
            <w:tcW w:w="54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68 (33.0%)</w:t>
            </w:r>
          </w:p>
        </w:tc>
        <w:tc>
          <w:tcPr>
            <w:tcW w:w="119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39 (37.9%)</w:t>
            </w:r>
          </w:p>
        </w:tc>
        <w:tc>
          <w:tcPr>
            <w:tcW w:w="133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29 (28.2%)</w:t>
            </w:r>
          </w:p>
        </w:tc>
        <w:tc>
          <w:tcPr>
            <w:tcW w:w="3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0.139</w:t>
            </w:r>
          </w:p>
        </w:tc>
      </w:tr>
      <w:tr w:rsidR="007A224C" w:rsidRPr="007A224C" w:rsidTr="007A224C">
        <w:trPr>
          <w:tblCellSpacing w:w="0" w:type="dxa"/>
        </w:trPr>
        <w:tc>
          <w:tcPr>
            <w:tcW w:w="1589"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Peripheral neuropathy symptoms</w:t>
            </w:r>
          </w:p>
        </w:tc>
        <w:tc>
          <w:tcPr>
            <w:tcW w:w="54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103 (50.0%)</w:t>
            </w:r>
          </w:p>
        </w:tc>
        <w:tc>
          <w:tcPr>
            <w:tcW w:w="119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103 (100%)</w:t>
            </w:r>
          </w:p>
        </w:tc>
        <w:tc>
          <w:tcPr>
            <w:tcW w:w="133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 (0%)</w:t>
            </w:r>
          </w:p>
        </w:tc>
        <w:tc>
          <w:tcPr>
            <w:tcW w:w="3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&lt;0.001</w:t>
            </w:r>
          </w:p>
        </w:tc>
      </w:tr>
      <w:tr w:rsidR="007A224C" w:rsidRPr="007A224C" w:rsidTr="007A224C">
        <w:trPr>
          <w:tblCellSpacing w:w="0" w:type="dxa"/>
        </w:trPr>
        <w:tc>
          <w:tcPr>
            <w:tcW w:w="1589"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Reduced vibration perception</w:t>
            </w:r>
          </w:p>
        </w:tc>
        <w:tc>
          <w:tcPr>
            <w:tcW w:w="54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91 (44.2%)</w:t>
            </w:r>
          </w:p>
        </w:tc>
        <w:tc>
          <w:tcPr>
            <w:tcW w:w="119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70 (68.0%)</w:t>
            </w:r>
          </w:p>
        </w:tc>
        <w:tc>
          <w:tcPr>
            <w:tcW w:w="133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21 (20.4%)</w:t>
            </w:r>
          </w:p>
        </w:tc>
        <w:tc>
          <w:tcPr>
            <w:tcW w:w="3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&lt;0.001</w:t>
            </w:r>
          </w:p>
        </w:tc>
      </w:tr>
      <w:tr w:rsidR="007A224C" w:rsidRPr="007A224C" w:rsidTr="007A224C">
        <w:trPr>
          <w:tblCellSpacing w:w="0" w:type="dxa"/>
        </w:trPr>
        <w:tc>
          <w:tcPr>
            <w:tcW w:w="1589"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Abnormal monofilament test</w:t>
            </w:r>
          </w:p>
        </w:tc>
        <w:tc>
          <w:tcPr>
            <w:tcW w:w="543"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87 (42.2%)</w:t>
            </w:r>
          </w:p>
        </w:tc>
        <w:tc>
          <w:tcPr>
            <w:tcW w:w="1191"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66 (64.1%)</w:t>
            </w:r>
          </w:p>
        </w:tc>
        <w:tc>
          <w:tcPr>
            <w:tcW w:w="1331"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21 (20.4%)</w:t>
            </w:r>
          </w:p>
        </w:tc>
        <w:tc>
          <w:tcPr>
            <w:tcW w:w="346"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&lt;0.001</w:t>
            </w:r>
          </w:p>
        </w:tc>
      </w:tr>
    </w:tbl>
    <w:p w:rsidR="007A224C" w:rsidRPr="007A224C" w:rsidRDefault="007A224C" w:rsidP="007A224C">
      <w:pPr>
        <w:pStyle w:val="Body"/>
      </w:pPr>
      <w:r w:rsidRPr="007A224C">
        <w:pict>
          <v:rect id="_x0000_i1026" style="width:0;height:1.5pt" o:hralign="center" o:hrstd="t" o:hr="t" fillcolor="#a0a0a0" stroked="f"/>
        </w:pict>
      </w:r>
    </w:p>
    <w:p w:rsidR="007A224C" w:rsidRPr="007A224C" w:rsidRDefault="007A224C" w:rsidP="007A224C">
      <w:pPr>
        <w:pStyle w:val="Caption"/>
      </w:pPr>
      <w:r w:rsidRPr="007A224C">
        <w:t>Table 3. Severity and Clinical Outcomes of Diabetic Peripheral Neuropathy</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406"/>
        <w:gridCol w:w="1992"/>
        <w:gridCol w:w="1856"/>
        <w:gridCol w:w="2145"/>
        <w:gridCol w:w="628"/>
      </w:tblGrid>
      <w:tr w:rsidR="007A224C" w:rsidRPr="007A224C" w:rsidTr="007A224C">
        <w:trPr>
          <w:tblHeader/>
          <w:tblCellSpacing w:w="0" w:type="dxa"/>
        </w:trPr>
        <w:tc>
          <w:tcPr>
            <w:tcW w:w="1332"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Outcome Variable</w:t>
            </w:r>
          </w:p>
        </w:tc>
        <w:tc>
          <w:tcPr>
            <w:tcW w:w="1103"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Total n (%) / Mean ± SD</w:t>
            </w:r>
          </w:p>
        </w:tc>
        <w:tc>
          <w:tcPr>
            <w:tcW w:w="1028"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Poor Clinical Outcome</w:t>
            </w:r>
          </w:p>
        </w:tc>
        <w:tc>
          <w:tcPr>
            <w:tcW w:w="1188"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No Poor Clinical Outcome</w:t>
            </w:r>
          </w:p>
        </w:tc>
        <w:tc>
          <w:tcPr>
            <w:tcW w:w="348"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p-value</w:t>
            </w:r>
          </w:p>
        </w:tc>
      </w:tr>
      <w:tr w:rsidR="007A224C" w:rsidRPr="007A224C" w:rsidTr="007A224C">
        <w:trPr>
          <w:tblCellSpacing w:w="0" w:type="dxa"/>
        </w:trPr>
        <w:tc>
          <w:tcPr>
            <w:tcW w:w="1332"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Mild neuropathy</w:t>
            </w:r>
          </w:p>
        </w:tc>
        <w:tc>
          <w:tcPr>
            <w:tcW w:w="110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38 (18.4%)</w:t>
            </w:r>
          </w:p>
        </w:tc>
        <w:tc>
          <w:tcPr>
            <w:tcW w:w="102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38 (36.9%)</w:t>
            </w:r>
          </w:p>
        </w:tc>
        <w:tc>
          <w:tcPr>
            <w:tcW w:w="118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w:t>
            </w:r>
          </w:p>
        </w:tc>
      </w:tr>
      <w:tr w:rsidR="007A224C" w:rsidRPr="007A224C" w:rsidTr="007A224C">
        <w:trPr>
          <w:tblCellSpacing w:w="0" w:type="dxa"/>
        </w:trPr>
        <w:tc>
          <w:tcPr>
            <w:tcW w:w="1332"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Moderate neuropathy</w:t>
            </w:r>
          </w:p>
        </w:tc>
        <w:tc>
          <w:tcPr>
            <w:tcW w:w="110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34 (16.5%)</w:t>
            </w:r>
          </w:p>
        </w:tc>
        <w:tc>
          <w:tcPr>
            <w:tcW w:w="102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34 (33.0%)</w:t>
            </w:r>
          </w:p>
        </w:tc>
        <w:tc>
          <w:tcPr>
            <w:tcW w:w="118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w:t>
            </w:r>
          </w:p>
        </w:tc>
      </w:tr>
      <w:tr w:rsidR="007A224C" w:rsidRPr="007A224C" w:rsidTr="007A224C">
        <w:trPr>
          <w:tblCellSpacing w:w="0" w:type="dxa"/>
        </w:trPr>
        <w:tc>
          <w:tcPr>
            <w:tcW w:w="1332"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Severe neuropathy</w:t>
            </w:r>
          </w:p>
        </w:tc>
        <w:tc>
          <w:tcPr>
            <w:tcW w:w="110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31 (15.0%)</w:t>
            </w:r>
          </w:p>
        </w:tc>
        <w:tc>
          <w:tcPr>
            <w:tcW w:w="102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31 (30.1%)</w:t>
            </w:r>
          </w:p>
        </w:tc>
        <w:tc>
          <w:tcPr>
            <w:tcW w:w="118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w:t>
            </w:r>
          </w:p>
        </w:tc>
      </w:tr>
      <w:tr w:rsidR="007A224C" w:rsidRPr="007A224C" w:rsidTr="007A224C">
        <w:trPr>
          <w:tblCellSpacing w:w="0" w:type="dxa"/>
        </w:trPr>
        <w:tc>
          <w:tcPr>
            <w:tcW w:w="1332"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Mean HbA1c, %</w:t>
            </w:r>
          </w:p>
        </w:tc>
        <w:tc>
          <w:tcPr>
            <w:tcW w:w="110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w:t>
            </w:r>
          </w:p>
        </w:tc>
        <w:tc>
          <w:tcPr>
            <w:tcW w:w="102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9.1 ± 1.6</w:t>
            </w:r>
          </w:p>
        </w:tc>
        <w:tc>
          <w:tcPr>
            <w:tcW w:w="118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7.7 ± 1.4</w:t>
            </w:r>
          </w:p>
        </w:tc>
        <w:tc>
          <w:tcPr>
            <w:tcW w:w="34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&lt;0.001</w:t>
            </w:r>
          </w:p>
        </w:tc>
      </w:tr>
      <w:tr w:rsidR="007A224C" w:rsidRPr="007A224C" w:rsidTr="007A224C">
        <w:trPr>
          <w:tblCellSpacing w:w="0" w:type="dxa"/>
        </w:trPr>
        <w:tc>
          <w:tcPr>
            <w:tcW w:w="1332"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Mean diabetes duration, years</w:t>
            </w:r>
          </w:p>
        </w:tc>
        <w:tc>
          <w:tcPr>
            <w:tcW w:w="1103"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w:t>
            </w:r>
          </w:p>
        </w:tc>
        <w:tc>
          <w:tcPr>
            <w:tcW w:w="1028"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16.2 ± 6.5</w:t>
            </w:r>
          </w:p>
        </w:tc>
        <w:tc>
          <w:tcPr>
            <w:tcW w:w="1188"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10.3 ± 5.7</w:t>
            </w:r>
          </w:p>
        </w:tc>
        <w:tc>
          <w:tcPr>
            <w:tcW w:w="348"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&lt;0.001</w:t>
            </w:r>
          </w:p>
        </w:tc>
      </w:tr>
    </w:tbl>
    <w:p w:rsidR="007A224C" w:rsidRPr="007A224C" w:rsidRDefault="007A224C" w:rsidP="007A224C">
      <w:pPr>
        <w:pStyle w:val="Body"/>
      </w:pPr>
      <w:r w:rsidRPr="007A224C">
        <w:pict>
          <v:rect id="_x0000_i1027" style="width:0;height:1.5pt" o:hralign="center" o:hrstd="t" o:hr="t" fillcolor="#a0a0a0" stroked="f"/>
        </w:pict>
      </w:r>
    </w:p>
    <w:p w:rsidR="007A224C" w:rsidRPr="007A224C" w:rsidRDefault="007A224C" w:rsidP="007A224C">
      <w:pPr>
        <w:pStyle w:val="Caption"/>
      </w:pPr>
      <w:r w:rsidRPr="007A224C">
        <w:t>Table 4. Logistic Regression Analysis of Predictors Associated with Poor Clinical Outcome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082"/>
        <w:gridCol w:w="446"/>
        <w:gridCol w:w="1888"/>
        <w:gridCol w:w="2759"/>
        <w:gridCol w:w="852"/>
      </w:tblGrid>
      <w:tr w:rsidR="007A224C" w:rsidRPr="007A224C" w:rsidTr="007A224C">
        <w:trPr>
          <w:tblHeader/>
          <w:tblCellSpacing w:w="0" w:type="dxa"/>
        </w:trPr>
        <w:tc>
          <w:tcPr>
            <w:tcW w:w="1707"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Predictor</w:t>
            </w:r>
          </w:p>
        </w:tc>
        <w:tc>
          <w:tcPr>
            <w:tcW w:w="247"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n</w:t>
            </w:r>
          </w:p>
        </w:tc>
        <w:tc>
          <w:tcPr>
            <w:tcW w:w="1046"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Odds Ratio (OR)</w:t>
            </w:r>
          </w:p>
        </w:tc>
        <w:tc>
          <w:tcPr>
            <w:tcW w:w="1528"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95% Confidence Interval</w:t>
            </w:r>
          </w:p>
        </w:tc>
        <w:tc>
          <w:tcPr>
            <w:tcW w:w="472"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p-value</w:t>
            </w:r>
          </w:p>
        </w:tc>
      </w:tr>
      <w:tr w:rsidR="007A224C" w:rsidRPr="007A224C" w:rsidTr="007A224C">
        <w:trPr>
          <w:tblCellSpacing w:w="0" w:type="dxa"/>
        </w:trPr>
        <w:tc>
          <w:tcPr>
            <w:tcW w:w="1707"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HbA1c ≥7.0%</w:t>
            </w:r>
          </w:p>
        </w:tc>
        <w:tc>
          <w:tcPr>
            <w:tcW w:w="247"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146</w:t>
            </w:r>
          </w:p>
        </w:tc>
        <w:tc>
          <w:tcPr>
            <w:tcW w:w="10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2.84</w:t>
            </w:r>
          </w:p>
        </w:tc>
        <w:tc>
          <w:tcPr>
            <w:tcW w:w="152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1.52–5.31</w:t>
            </w:r>
          </w:p>
        </w:tc>
        <w:tc>
          <w:tcPr>
            <w:tcW w:w="472"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0.001</w:t>
            </w:r>
          </w:p>
        </w:tc>
      </w:tr>
      <w:tr w:rsidR="007A224C" w:rsidRPr="007A224C" w:rsidTr="007A224C">
        <w:trPr>
          <w:tblCellSpacing w:w="0" w:type="dxa"/>
        </w:trPr>
        <w:tc>
          <w:tcPr>
            <w:tcW w:w="1707"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HbA1c (per 1% increase)</w:t>
            </w:r>
          </w:p>
        </w:tc>
        <w:tc>
          <w:tcPr>
            <w:tcW w:w="247"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206</w:t>
            </w:r>
          </w:p>
        </w:tc>
        <w:tc>
          <w:tcPr>
            <w:tcW w:w="10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1.42</w:t>
            </w:r>
          </w:p>
        </w:tc>
        <w:tc>
          <w:tcPr>
            <w:tcW w:w="152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1.18–1.71</w:t>
            </w:r>
          </w:p>
        </w:tc>
        <w:tc>
          <w:tcPr>
            <w:tcW w:w="472"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&lt;0.001</w:t>
            </w:r>
          </w:p>
        </w:tc>
      </w:tr>
      <w:tr w:rsidR="007A224C" w:rsidRPr="007A224C" w:rsidTr="007A224C">
        <w:trPr>
          <w:tblCellSpacing w:w="0" w:type="dxa"/>
        </w:trPr>
        <w:tc>
          <w:tcPr>
            <w:tcW w:w="1707"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Diabetes duration ≥10 years</w:t>
            </w:r>
          </w:p>
        </w:tc>
        <w:tc>
          <w:tcPr>
            <w:tcW w:w="247"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132</w:t>
            </w:r>
          </w:p>
        </w:tc>
        <w:tc>
          <w:tcPr>
            <w:tcW w:w="10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2.36</w:t>
            </w:r>
          </w:p>
        </w:tc>
        <w:tc>
          <w:tcPr>
            <w:tcW w:w="152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1.32–4.21</w:t>
            </w:r>
          </w:p>
        </w:tc>
        <w:tc>
          <w:tcPr>
            <w:tcW w:w="472"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0.004</w:t>
            </w:r>
          </w:p>
        </w:tc>
      </w:tr>
      <w:tr w:rsidR="007A224C" w:rsidRPr="007A224C" w:rsidTr="007A224C">
        <w:trPr>
          <w:tblCellSpacing w:w="0" w:type="dxa"/>
        </w:trPr>
        <w:tc>
          <w:tcPr>
            <w:tcW w:w="1707"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Chronic kidney disease</w:t>
            </w:r>
          </w:p>
        </w:tc>
        <w:tc>
          <w:tcPr>
            <w:tcW w:w="247"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58</w:t>
            </w:r>
          </w:p>
        </w:tc>
        <w:tc>
          <w:tcPr>
            <w:tcW w:w="10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1.91</w:t>
            </w:r>
          </w:p>
        </w:tc>
        <w:tc>
          <w:tcPr>
            <w:tcW w:w="152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1.02–3.59</w:t>
            </w:r>
          </w:p>
        </w:tc>
        <w:tc>
          <w:tcPr>
            <w:tcW w:w="472"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0.043</w:t>
            </w:r>
          </w:p>
        </w:tc>
      </w:tr>
      <w:tr w:rsidR="007A224C" w:rsidRPr="007A224C" w:rsidTr="007A224C">
        <w:trPr>
          <w:tblCellSpacing w:w="0" w:type="dxa"/>
        </w:trPr>
        <w:tc>
          <w:tcPr>
            <w:tcW w:w="1707"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Hypertension</w:t>
            </w:r>
          </w:p>
        </w:tc>
        <w:tc>
          <w:tcPr>
            <w:tcW w:w="247"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118</w:t>
            </w:r>
          </w:p>
        </w:tc>
        <w:tc>
          <w:tcPr>
            <w:tcW w:w="10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1.48</w:t>
            </w:r>
          </w:p>
        </w:tc>
        <w:tc>
          <w:tcPr>
            <w:tcW w:w="152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0.84–2.61</w:t>
            </w:r>
          </w:p>
        </w:tc>
        <w:tc>
          <w:tcPr>
            <w:tcW w:w="472"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0.173</w:t>
            </w:r>
          </w:p>
        </w:tc>
      </w:tr>
      <w:tr w:rsidR="007A224C" w:rsidRPr="007A224C" w:rsidTr="007A224C">
        <w:trPr>
          <w:tblCellSpacing w:w="0" w:type="dxa"/>
        </w:trPr>
        <w:tc>
          <w:tcPr>
            <w:tcW w:w="1707"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Obesity (BMI ≥30 kg/m²)</w:t>
            </w:r>
          </w:p>
        </w:tc>
        <w:tc>
          <w:tcPr>
            <w:tcW w:w="247"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68</w:t>
            </w:r>
          </w:p>
        </w:tc>
        <w:tc>
          <w:tcPr>
            <w:tcW w:w="1046"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1.34</w:t>
            </w:r>
          </w:p>
        </w:tc>
        <w:tc>
          <w:tcPr>
            <w:tcW w:w="152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0.74–2.43</w:t>
            </w:r>
          </w:p>
        </w:tc>
        <w:tc>
          <w:tcPr>
            <w:tcW w:w="472"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0.337</w:t>
            </w:r>
          </w:p>
        </w:tc>
      </w:tr>
      <w:tr w:rsidR="007A224C" w:rsidRPr="007A224C" w:rsidTr="007A224C">
        <w:trPr>
          <w:tblCellSpacing w:w="0" w:type="dxa"/>
        </w:trPr>
        <w:tc>
          <w:tcPr>
            <w:tcW w:w="1707"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Current smoking</w:t>
            </w:r>
          </w:p>
        </w:tc>
        <w:tc>
          <w:tcPr>
            <w:tcW w:w="247"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46</w:t>
            </w:r>
          </w:p>
        </w:tc>
        <w:tc>
          <w:tcPr>
            <w:tcW w:w="1046"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1.69</w:t>
            </w:r>
          </w:p>
        </w:tc>
        <w:tc>
          <w:tcPr>
            <w:tcW w:w="1528"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0.86–3.32</w:t>
            </w:r>
          </w:p>
        </w:tc>
        <w:tc>
          <w:tcPr>
            <w:tcW w:w="472"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0.128</w:t>
            </w:r>
          </w:p>
        </w:tc>
      </w:tr>
    </w:tbl>
    <w:p w:rsidR="007A224C" w:rsidRPr="007A224C" w:rsidRDefault="007A224C" w:rsidP="007A224C">
      <w:pPr>
        <w:pStyle w:val="Body"/>
      </w:pPr>
      <w:r w:rsidRPr="007A224C">
        <w:pict>
          <v:rect id="_x0000_i1028" style="width:0;height:1.5pt" o:hralign="center" o:hrstd="t" o:hr="t" fillcolor="#a0a0a0" stroked="f"/>
        </w:pict>
      </w:r>
    </w:p>
    <w:p w:rsidR="007A224C" w:rsidRPr="007A224C" w:rsidRDefault="007A224C" w:rsidP="007A224C">
      <w:pPr>
        <w:pStyle w:val="Caption"/>
      </w:pPr>
      <w:r w:rsidRPr="007A224C">
        <w:t>Table 5. Neuropathy Severity According to Glycemic Control Status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692"/>
        <w:gridCol w:w="1775"/>
        <w:gridCol w:w="2248"/>
        <w:gridCol w:w="1970"/>
        <w:gridCol w:w="551"/>
        <w:gridCol w:w="791"/>
      </w:tblGrid>
      <w:tr w:rsidR="007A224C" w:rsidRPr="007A224C" w:rsidTr="007A224C">
        <w:trPr>
          <w:tblHeader/>
          <w:tblCellSpacing w:w="0" w:type="dxa"/>
        </w:trPr>
        <w:tc>
          <w:tcPr>
            <w:tcW w:w="937"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Glycemic Status</w:t>
            </w:r>
          </w:p>
        </w:tc>
        <w:tc>
          <w:tcPr>
            <w:tcW w:w="983"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Mild Neuropathy</w:t>
            </w:r>
          </w:p>
        </w:tc>
        <w:tc>
          <w:tcPr>
            <w:tcW w:w="1245"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Moderate Neuropathy</w:t>
            </w:r>
          </w:p>
        </w:tc>
        <w:tc>
          <w:tcPr>
            <w:tcW w:w="1091"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Severe Neuropathy</w:t>
            </w:r>
          </w:p>
        </w:tc>
        <w:tc>
          <w:tcPr>
            <w:tcW w:w="305"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Total</w:t>
            </w:r>
          </w:p>
        </w:tc>
        <w:tc>
          <w:tcPr>
            <w:tcW w:w="438"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p-value</w:t>
            </w:r>
          </w:p>
        </w:tc>
      </w:tr>
      <w:tr w:rsidR="007A224C" w:rsidRPr="007A224C" w:rsidTr="007A224C">
        <w:trPr>
          <w:tblCellSpacing w:w="0" w:type="dxa"/>
        </w:trPr>
        <w:tc>
          <w:tcPr>
            <w:tcW w:w="937"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HbA1c &lt;7.0%</w:t>
            </w:r>
          </w:p>
        </w:tc>
        <w:tc>
          <w:tcPr>
            <w:tcW w:w="98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19 (31.7%)</w:t>
            </w:r>
          </w:p>
        </w:tc>
        <w:tc>
          <w:tcPr>
            <w:tcW w:w="124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10 (16.7%)</w:t>
            </w:r>
          </w:p>
        </w:tc>
        <w:tc>
          <w:tcPr>
            <w:tcW w:w="109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 (8.3%)</w:t>
            </w:r>
          </w:p>
        </w:tc>
        <w:tc>
          <w:tcPr>
            <w:tcW w:w="30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60</w:t>
            </w:r>
          </w:p>
        </w:tc>
        <w:tc>
          <w:tcPr>
            <w:tcW w:w="438" w:type="pct"/>
            <w:shd w:val="clear" w:color="auto" w:fill="auto"/>
            <w:hideMark/>
          </w:tcPr>
          <w:p w:rsidR="007A224C" w:rsidRPr="007A224C" w:rsidRDefault="007A224C" w:rsidP="007A224C">
            <w:pPr>
              <w:pStyle w:val="Body"/>
              <w:spacing w:after="0" w:line="240" w:lineRule="auto"/>
              <w:jc w:val="left"/>
              <w:rPr>
                <w:color w:val="000000"/>
                <w:sz w:val="16"/>
              </w:rPr>
            </w:pPr>
          </w:p>
        </w:tc>
      </w:tr>
      <w:tr w:rsidR="007A224C" w:rsidRPr="007A224C" w:rsidTr="007A224C">
        <w:trPr>
          <w:tblCellSpacing w:w="0" w:type="dxa"/>
        </w:trPr>
        <w:tc>
          <w:tcPr>
            <w:tcW w:w="937"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HbA1c ≥7.0%</w:t>
            </w:r>
          </w:p>
        </w:tc>
        <w:tc>
          <w:tcPr>
            <w:tcW w:w="983"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19 (13.0%)</w:t>
            </w:r>
          </w:p>
        </w:tc>
        <w:tc>
          <w:tcPr>
            <w:tcW w:w="1245"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24 (16.4%)</w:t>
            </w:r>
          </w:p>
        </w:tc>
        <w:tc>
          <w:tcPr>
            <w:tcW w:w="1091"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26 (17.8%)</w:t>
            </w:r>
          </w:p>
        </w:tc>
        <w:tc>
          <w:tcPr>
            <w:tcW w:w="305"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146</w:t>
            </w:r>
          </w:p>
        </w:tc>
        <w:tc>
          <w:tcPr>
            <w:tcW w:w="438"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0.003</w:t>
            </w:r>
          </w:p>
        </w:tc>
      </w:tr>
    </w:tbl>
    <w:p w:rsidR="007A224C" w:rsidRPr="007A224C" w:rsidRDefault="007A224C" w:rsidP="007A224C">
      <w:pPr>
        <w:pStyle w:val="Body"/>
      </w:pPr>
      <w:r w:rsidRPr="007A224C">
        <w:pict>
          <v:rect id="_x0000_i1029" style="width:0;height:1.5pt" o:hralign="center" o:hrstd="t" o:hr="t" fillcolor="#a0a0a0" stroked="f"/>
        </w:pict>
      </w:r>
    </w:p>
    <w:p w:rsidR="007A224C" w:rsidRPr="007A224C" w:rsidRDefault="007A224C" w:rsidP="007A224C">
      <w:pPr>
        <w:pStyle w:val="Caption"/>
      </w:pPr>
      <w:r w:rsidRPr="007A224C">
        <w:lastRenderedPageBreak/>
        <w:t>Table 6. Distribution of Neuropathy Assessment Findings by Clinical Outcome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133"/>
        <w:gridCol w:w="2186"/>
        <w:gridCol w:w="2417"/>
        <w:gridCol w:w="836"/>
        <w:gridCol w:w="834"/>
        <w:gridCol w:w="621"/>
      </w:tblGrid>
      <w:tr w:rsidR="007A224C" w:rsidRPr="007A224C" w:rsidTr="007A224C">
        <w:trPr>
          <w:tblHeader/>
          <w:tblCellSpacing w:w="0" w:type="dxa"/>
        </w:trPr>
        <w:tc>
          <w:tcPr>
            <w:tcW w:w="1181"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Assessment Variable</w:t>
            </w:r>
          </w:p>
        </w:tc>
        <w:tc>
          <w:tcPr>
            <w:tcW w:w="1211"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Poor Clinical Outcome (n=103)</w:t>
            </w:r>
          </w:p>
        </w:tc>
        <w:tc>
          <w:tcPr>
            <w:tcW w:w="1339"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No Poor Clinical Outcome (n=103)</w:t>
            </w:r>
          </w:p>
        </w:tc>
        <w:tc>
          <w:tcPr>
            <w:tcW w:w="463"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Odds Ratio</w:t>
            </w:r>
          </w:p>
        </w:tc>
        <w:tc>
          <w:tcPr>
            <w:tcW w:w="462"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95% CI</w:t>
            </w:r>
          </w:p>
        </w:tc>
        <w:tc>
          <w:tcPr>
            <w:tcW w:w="345"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p-value</w:t>
            </w:r>
          </w:p>
        </w:tc>
      </w:tr>
      <w:tr w:rsidR="007A224C" w:rsidRPr="007A224C" w:rsidTr="007A224C">
        <w:trPr>
          <w:tblCellSpacing w:w="0" w:type="dxa"/>
        </w:trPr>
        <w:tc>
          <w:tcPr>
            <w:tcW w:w="1181"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Reduced vibration perception</w:t>
            </w:r>
          </w:p>
        </w:tc>
        <w:tc>
          <w:tcPr>
            <w:tcW w:w="121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70 (68.0%)</w:t>
            </w:r>
          </w:p>
        </w:tc>
        <w:tc>
          <w:tcPr>
            <w:tcW w:w="1339"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21 (20.4%)</w:t>
            </w:r>
          </w:p>
        </w:tc>
        <w:tc>
          <w:tcPr>
            <w:tcW w:w="463"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8.27</w:t>
            </w:r>
          </w:p>
        </w:tc>
        <w:tc>
          <w:tcPr>
            <w:tcW w:w="462"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4.33–15.80</w:t>
            </w:r>
          </w:p>
        </w:tc>
        <w:tc>
          <w:tcPr>
            <w:tcW w:w="34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&lt;0.001</w:t>
            </w:r>
          </w:p>
        </w:tc>
      </w:tr>
      <w:tr w:rsidR="007A224C" w:rsidRPr="007A224C" w:rsidTr="007A224C">
        <w:trPr>
          <w:tblCellSpacing w:w="0" w:type="dxa"/>
        </w:trPr>
        <w:tc>
          <w:tcPr>
            <w:tcW w:w="1181"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Abnormal monofilament test</w:t>
            </w:r>
          </w:p>
        </w:tc>
        <w:tc>
          <w:tcPr>
            <w:tcW w:w="1211"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66 (64.1%)</w:t>
            </w:r>
          </w:p>
        </w:tc>
        <w:tc>
          <w:tcPr>
            <w:tcW w:w="1339"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21 (20.4%)</w:t>
            </w:r>
          </w:p>
        </w:tc>
        <w:tc>
          <w:tcPr>
            <w:tcW w:w="463"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6.98</w:t>
            </w:r>
          </w:p>
        </w:tc>
        <w:tc>
          <w:tcPr>
            <w:tcW w:w="462"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3.70–13.18</w:t>
            </w:r>
          </w:p>
        </w:tc>
        <w:tc>
          <w:tcPr>
            <w:tcW w:w="345"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&lt;0.001</w:t>
            </w:r>
          </w:p>
        </w:tc>
      </w:tr>
    </w:tbl>
    <w:p w:rsidR="007A224C" w:rsidRPr="007A224C" w:rsidRDefault="007A224C" w:rsidP="007A224C">
      <w:pPr>
        <w:pStyle w:val="Body"/>
      </w:pPr>
      <w:r w:rsidRPr="007A224C">
        <w:t xml:space="preserve">The results demonstrated that patients with poor clinical outcomes had significantly higher mean HbA1c levels (9.1 ± 1.6% vs 7.7 ± 1.4%, p&lt;0.001) and longer diabetes duration (16.2 ± 6.5 years vs 10.3 ± 5.7 years, p&lt;0.001) compared with patients without poor clinical outcomes. Similarly, fasting blood glucose and systolic blood pressure were significantly elevated among patients with poor neuropathic outcomes. </w:t>
      </w:r>
    </w:p>
    <w:p w:rsidR="007A224C" w:rsidRPr="007A224C" w:rsidRDefault="007A224C" w:rsidP="007A224C">
      <w:pPr>
        <w:pStyle w:val="Body"/>
      </w:pPr>
      <w:r w:rsidRPr="007A224C">
        <w:t xml:space="preserve">Poor glycemic control was highly prevalent and demonstrated a statistically significant association with adverse neuropathic outcomes. Among patients with HbA1c ≥7.0%, 83.5% belonged to the poor-outcome group compared with 58.3% in the non-poor-outcome group (p=0.001). Diabetes duration ≥10 years and chronic kidney disease were also significantly more common among patients with poor outcomes. Objective neuropathy indicators, including reduced vibration perception and abnormal monofilament testing, showed markedly higher frequencies in the poor clinical outcome group (both p&lt;0.001). </w:t>
      </w:r>
    </w:p>
    <w:p w:rsidR="007A224C" w:rsidRPr="007A224C" w:rsidRDefault="007A224C" w:rsidP="007A224C">
      <w:pPr>
        <w:pStyle w:val="Body"/>
      </w:pPr>
      <w:r w:rsidRPr="007A224C">
        <w:t xml:space="preserve">Logistic regression analysis demonstrated that poor glycemic control independently increased the odds of poor clinical outcome by nearly threefold (OR 2.84, 95% CI 1.52–5.31, p=0.001). Each 1% increase in HbA1c was associated with a 42% increase in the odds of poor neuropathic outcome (OR 1.42, 95% CI 1.18–1.71, p&lt;0.001). Long-standing diabetes and chronic kidney disease also showed statistically significant associations with adverse outcomes, whereas hypertension, obesity, and smoking demonstrated non-significant positive trends. </w:t>
      </w:r>
    </w:p>
    <w:p w:rsidR="007A224C" w:rsidRPr="007A224C" w:rsidRDefault="007A224C" w:rsidP="007A224C">
      <w:pPr>
        <w:pStyle w:val="Body"/>
      </w:pPr>
      <w:r w:rsidRPr="007A224C">
        <w:t xml:space="preserve">The study included 206 patients with diabetes mellitus, with a mean age of 54.8 ± 12.6 years. Male participants constituted 54.4% of the study population, while females accounted for 45.6%. The overall mean duration of diabetes was 13.2 ± 6.8 years, and the mean HbA1c level was 8.4 ± 1.7%, indicating generally suboptimal glycemic control within the cohort. Patients with poor clinical outcomes demonstrated significantly higher mean HbA1c levels compared with those without poor outcomes (9.1 ± 1.6% vs 7.7 ± 1.4%, p&lt;0.001). Similarly, the mean duration of diabetes was markedly longer among patients with poor clinical outcomes (16.2 ± 6.5 years vs 10.3 ± 5.7 years, p&lt;0.001). Fasting blood glucose was also significantly elevated in the poor-outcome group (184.1 ± 56.8 mg/dL vs 152.9 ± 47.3 mg/dL, p&lt;0.001), while systolic blood pressure showed a statistically significant difference between groups (137.9 ± 17.2 mmHg vs 131.3 ± 15.8 mmHg, p=0.009). Although body mass index and diastolic blood pressure were higher among patients with poor outcomes, these differences did not reach statistical significance. </w:t>
      </w:r>
    </w:p>
    <w:p w:rsidR="007A224C" w:rsidRPr="007A224C" w:rsidRDefault="007A224C" w:rsidP="007A224C">
      <w:pPr>
        <w:pStyle w:val="Body"/>
      </w:pPr>
      <w:r w:rsidRPr="007A224C">
        <w:t xml:space="preserve">Clinical comorbidities and neuropathy-related findings showed important differences between outcome groups. Poor glycemic control, defined as HbA1c ≥7.0%, was present in 70.9% of participants overall and was significantly more frequent among patients with poor clinical outcomes (83.5% vs 58.3%, p=0.001). Long-standing diabetes mellitus of at least 10 years duration was identified in 64.1% of participants and was significantly associated with poor outcomes (76.7% vs 51.5%, p=0.002). Chronic kidney disease was observed in 28.2% of patients and was significantly more prevalent among patients with poor clinical outcomes (35.9% vs 20.4%, p=0.014). Hypertension, dyslipidemia, smoking, and obesity demonstrated higher frequencies in the poor-outcome group; however, these associations were not statistically significant. Peripheral neuropathy symptoms were documented in 50.0% of the study population and were exclusively observed in the poor clinical outcome group. Objective neurological impairment was also substantially more common among patients with poor outcomes, including reduced vibration perception (68.0% vs 20.4%, p&lt;0.001) and abnormal monofilament test findings (64.1% vs 20.4%, p&lt;0.001). </w:t>
      </w:r>
    </w:p>
    <w:p w:rsidR="007A224C" w:rsidRPr="007A224C" w:rsidRDefault="007A224C" w:rsidP="007A224C">
      <w:pPr>
        <w:pStyle w:val="Body"/>
      </w:pPr>
      <w:r w:rsidRPr="007A224C">
        <w:t xml:space="preserve">Assessment of neuropathy severity demonstrated that 18.4% of patients had mild neuropathy, 16.5% had moderate neuropathy, and 15.0% had severe neuropathy. Patients with poor glycemic control exhibited greater neuropathy severity compared with those achieving HbA1c levels below 7.0%. Severe neuropathy was observed in 17.8% of patients with HbA1c ≥7.0% compared with only 8.3% among patients with HbA1c &lt;7.0% (p=0.003), indicating a clinically meaningful relationship between worsening glycemic status and progressive neuropathic impairment. </w:t>
      </w:r>
    </w:p>
    <w:p w:rsidR="007A224C" w:rsidRPr="007A224C" w:rsidRDefault="007A224C" w:rsidP="007A224C">
      <w:pPr>
        <w:pStyle w:val="Body"/>
      </w:pPr>
      <w:r w:rsidRPr="007A224C">
        <w:t xml:space="preserve">Inferential analysis further confirmed the significant association between glycemic control and neuropathic outcomes. Logistic regression analysis demonstrated that poor glycemic control independently increased the odds of poor clinical outcome by nearly threefold (OR 2.84, 95% CI 1.52–5.31, p=0.001). Moreover, each 1% increase in HbA1c level increased the odds of poor neuropathic outcome by 42% (OR 1.42, 95% CI 1.18–1.71, p&lt;0.001). Diabetes duration of at least 10 years was also significantly associated with poor clinical outcomes (OR 2.36, 95% </w:t>
      </w:r>
      <w:r w:rsidRPr="007A224C">
        <w:lastRenderedPageBreak/>
        <w:t xml:space="preserve">CI 1.32–4.21, p=0.004), while chronic kidney disease nearly doubled the risk of adverse neuropathic outcome (OR 1.91, 95% CI 1.02–3.59, p=0.043). Although hypertension, obesity, and smoking showed positive associations with poor outcomes, their confidence intervals crossed unity and the observed relationships did not achieve statistical significance. </w:t>
      </w:r>
    </w:p>
    <w:p w:rsidR="007A224C" w:rsidRPr="007A224C" w:rsidRDefault="007A224C" w:rsidP="007A224C">
      <w:pPr>
        <w:pStyle w:val="Body"/>
        <w:jc w:val="center"/>
      </w:pPr>
      <w:r>
        <w:rPr>
          <w:noProof/>
        </w:rPr>
        <w:drawing>
          <wp:inline distT="0" distB="0" distL="0" distR="0">
            <wp:extent cx="4572000" cy="28089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4, 2026, 02_21_39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808941"/>
                    </a:xfrm>
                    <a:prstGeom prst="rect">
                      <a:avLst/>
                    </a:prstGeom>
                  </pic:spPr>
                </pic:pic>
              </a:graphicData>
            </a:graphic>
          </wp:inline>
        </w:drawing>
      </w:r>
      <w:bookmarkStart w:id="0" w:name="_GoBack"/>
      <w:bookmarkEnd w:id="0"/>
      <w:r w:rsidRPr="007A224C">
        <w:br/>
      </w:r>
      <w:r w:rsidRPr="007A224C">
        <w:br/>
        <w:t>Figure 1. Gradient Distribution of Neuropathy Severity Across Glycemic Control Categories and Clinical Outcome Status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068"/>
        <w:gridCol w:w="2122"/>
        <w:gridCol w:w="2542"/>
        <w:gridCol w:w="2295"/>
      </w:tblGrid>
      <w:tr w:rsidR="007A224C" w:rsidRPr="007A224C" w:rsidTr="007A224C">
        <w:trPr>
          <w:tblHeader/>
          <w:tblCellSpacing w:w="0" w:type="dxa"/>
        </w:trPr>
        <w:tc>
          <w:tcPr>
            <w:tcW w:w="1145"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lycemic Control Status</w:t>
            </w:r>
          </w:p>
        </w:tc>
        <w:tc>
          <w:tcPr>
            <w:tcW w:w="1175"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Mild Neuropathy n (%)</w:t>
            </w:r>
          </w:p>
        </w:tc>
        <w:tc>
          <w:tcPr>
            <w:tcW w:w="1408"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Moderate Neuropathy n (%)</w:t>
            </w:r>
          </w:p>
        </w:tc>
        <w:tc>
          <w:tcPr>
            <w:tcW w:w="1271" w:type="pct"/>
            <w:tcBorders>
              <w:top w:val="single" w:sz="4" w:space="0" w:color="auto"/>
              <w:bottom w:val="single" w:sz="4" w:space="0" w:color="000000"/>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Severe Neuropathy n (%)</w:t>
            </w:r>
          </w:p>
        </w:tc>
      </w:tr>
      <w:tr w:rsidR="007A224C" w:rsidRPr="007A224C" w:rsidTr="007A224C">
        <w:trPr>
          <w:tblCellSpacing w:w="0" w:type="dxa"/>
        </w:trPr>
        <w:tc>
          <w:tcPr>
            <w:tcW w:w="1145" w:type="pct"/>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HbA1c &lt;7.0%</w:t>
            </w:r>
          </w:p>
        </w:tc>
        <w:tc>
          <w:tcPr>
            <w:tcW w:w="1175"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19 (31.7%)</w:t>
            </w:r>
          </w:p>
        </w:tc>
        <w:tc>
          <w:tcPr>
            <w:tcW w:w="1408"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10 (16.7%)</w:t>
            </w:r>
          </w:p>
        </w:tc>
        <w:tc>
          <w:tcPr>
            <w:tcW w:w="1271" w:type="pct"/>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5 (8.3%)</w:t>
            </w:r>
          </w:p>
        </w:tc>
      </w:tr>
      <w:tr w:rsidR="007A224C" w:rsidRPr="007A224C" w:rsidTr="007A224C">
        <w:trPr>
          <w:tblCellSpacing w:w="0" w:type="dxa"/>
        </w:trPr>
        <w:tc>
          <w:tcPr>
            <w:tcW w:w="1145"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b/>
                <w:color w:val="000000"/>
                <w:sz w:val="16"/>
              </w:rPr>
            </w:pPr>
            <w:r w:rsidRPr="007A224C">
              <w:rPr>
                <w:b/>
                <w:color w:val="000000"/>
                <w:sz w:val="16"/>
              </w:rPr>
              <w:t>HbA1c ≥7.0%</w:t>
            </w:r>
          </w:p>
        </w:tc>
        <w:tc>
          <w:tcPr>
            <w:tcW w:w="1175"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19 (13.0%)</w:t>
            </w:r>
          </w:p>
        </w:tc>
        <w:tc>
          <w:tcPr>
            <w:tcW w:w="1408"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24 (16.4%)</w:t>
            </w:r>
          </w:p>
        </w:tc>
        <w:tc>
          <w:tcPr>
            <w:tcW w:w="1271" w:type="pct"/>
            <w:tcBorders>
              <w:bottom w:val="single" w:sz="4" w:space="0" w:color="auto"/>
            </w:tcBorders>
            <w:shd w:val="clear" w:color="auto" w:fill="auto"/>
            <w:hideMark/>
          </w:tcPr>
          <w:p w:rsidR="007A224C" w:rsidRPr="007A224C" w:rsidRDefault="007A224C" w:rsidP="007A224C">
            <w:pPr>
              <w:pStyle w:val="Body"/>
              <w:spacing w:after="0" w:line="240" w:lineRule="auto"/>
              <w:jc w:val="left"/>
              <w:rPr>
                <w:color w:val="000000"/>
                <w:sz w:val="16"/>
              </w:rPr>
            </w:pPr>
            <w:r w:rsidRPr="007A224C">
              <w:rPr>
                <w:color w:val="000000"/>
                <w:sz w:val="16"/>
              </w:rPr>
              <w:t>26 (17.8%)</w:t>
            </w:r>
          </w:p>
        </w:tc>
      </w:tr>
    </w:tbl>
    <w:p w:rsidR="007A224C" w:rsidRPr="007A224C" w:rsidRDefault="007A224C" w:rsidP="007A224C">
      <w:pPr>
        <w:pStyle w:val="Body"/>
      </w:pPr>
      <w:r w:rsidRPr="007A224C">
        <w:t xml:space="preserve">The figure demonstrates a clinically significant gradient relationship between worsening glycemic control and neuropathy severity. Patients with HbA1c ≥7.0% exhibited more than double the prevalence of severe neuropathy compared with patients achieving glycemic targets (17.8% vs 8.3%). In contrast, mild neuropathy was proportionally more common among patients with HbA1c &lt;7.0% (31.7% vs 13.0%), suggesting earlier-stage or less progressive neurological involvement in better-controlled diabetes. Moderate neuropathy frequencies remained relatively comparable between groups, while the marked rise in severe neuropathy among poorly controlled patients indicates a progressive severity shift associated with chronic hyperglycemia. These findings support the inferential analysis demonstrating that each 1% increase in HbA1c significantly increased the odds of poor neuropathic outcome and further highlight the potential role of glycemic optimization in limiting neuropathy progression. </w:t>
      </w:r>
    </w:p>
    <w:p w:rsidR="007A224C" w:rsidRPr="007A224C" w:rsidRDefault="007A224C" w:rsidP="007A224C">
      <w:pPr>
        <w:pStyle w:val="Heading1"/>
      </w:pPr>
      <w:r w:rsidRPr="007A224C">
        <w:t>Discussion</w:t>
      </w:r>
    </w:p>
    <w:p w:rsidR="007A224C" w:rsidRPr="007A224C" w:rsidRDefault="007A224C" w:rsidP="007A224C">
      <w:pPr>
        <w:pStyle w:val="Body"/>
      </w:pPr>
      <w:r w:rsidRPr="007A224C">
        <w:t>Diabetic peripheral neuropathy is a major microvascular complication of diabetes mellitus and represents an important contributor to morbidity, disability, and healthcare burden worldwide (7). Chronic hyperglycemia leads to progressive neural injury through multiple interrelated mechanisms including oxidative stress, mitochondrial dysfunction, endothelial impairment, inflammatory activation, and microvascular ischemia, ultimately resulting in axonal degeneration and peripheral nerve dysfunction (8). The clinical manifestations of diabetic peripheral neuropathy range from mild sensory symptoms to severe neurological impairment associated with gait instability, foot ulceration, recurrent infection, and increased risk of lower-limb amputation (9). Because diabetic neuropathy frequently develops gradually and may remain underdiagnosed during its early stages, identification of modifiable clinical risk factors is essential for timely intervention and prevention of irreversible neurological damage.</w:t>
      </w:r>
    </w:p>
    <w:p w:rsidR="007A224C" w:rsidRPr="007A224C" w:rsidRDefault="007A224C" w:rsidP="007A224C">
      <w:pPr>
        <w:pStyle w:val="Body"/>
      </w:pPr>
      <w:r w:rsidRPr="007A224C">
        <w:t xml:space="preserve">The present study demonstrated a significant association between poor glycemic control and adverse neuropathic outcomes among patients with diabetes mellitus. Patients with poor clinical outcomes exhibited significantly higher mean HbA1c levels compared with those without poor outcomes, and logistic regression analysis showed that HbA1c ≥7.0% increased the odds of poor neuropathic outcome by nearly threefold. Furthermore, each 1% increase in HbA1c increased the odds of poor clinical outcome by 42%. These findings are consistent with previous evidence demonstrating that chronic hyperglycemia is a central determinant of diabetic peripheral nerve </w:t>
      </w:r>
      <w:r w:rsidRPr="007A224C">
        <w:lastRenderedPageBreak/>
        <w:t>injury and progression of neuropathic complications (10). Similar associations between elevated HbA1c levels and diabetic peripheral neuropathy have been reported in large observational and cohort studies, where poor glycemic control was strongly linked to worsening nerve function and increased neuropathy prevalence (11,12).</w:t>
      </w:r>
    </w:p>
    <w:p w:rsidR="007A224C" w:rsidRPr="007A224C" w:rsidRDefault="007A224C" w:rsidP="007A224C">
      <w:pPr>
        <w:pStyle w:val="Body"/>
      </w:pPr>
      <w:r w:rsidRPr="007A224C">
        <w:t>The observed relationship between prolonged diabetes duration and poor neuropathic outcomes further supports the cumulative neurotoxic effect of chronic metabolic dysregulation. In the present study, patients with diabetes duration ≥10 years demonstrated significantly increased odds of poor clinical outcome, while the mean duration of diabetes was substantially longer among patients with neuropathic involvement. Long-standing diabetes contributes to sustained exposure to hyperglycemia-mediated vascular and neuronal injury, thereby accelerating peripheral nerve degeneration over time (13). Previous studies have similarly shown that diabetes duration is among the strongest predictors of diabetic neuropathy severity and progression, particularly in patients with inadequate glycemic control (14,15). These findings emphasize the importance of early metabolic optimization and long-term surveillance strategies in patients with prolonged disease duration.</w:t>
      </w:r>
    </w:p>
    <w:p w:rsidR="007A224C" w:rsidRPr="007A224C" w:rsidRDefault="007A224C" w:rsidP="007A224C">
      <w:pPr>
        <w:pStyle w:val="Body"/>
      </w:pPr>
      <w:r w:rsidRPr="007A224C">
        <w:t>Chronic kidney disease also demonstrated a statistically significant association with poor neuropathic outcomes in this study. Patients with chronic kidney disease had nearly double the odds of adverse neuropathic outcomes compared with those without renal impairment. The coexistence of renal dysfunction and diabetic neuropathy may reflect shared pathogenic pathways involving endothelial dysfunction, chronic inflammation, oxidative stress, and impaired microvascular circulation (16). Previous investigations have demonstrated that chronic kidney disease may amplify peripheral nerve injury through accumulation of uremic toxins and worsening metabolic instability, thereby contributing to more severe neurological impairment in diabetic populations (17). The present findings therefore highlight the importance of integrated renal and neurological assessment in high-risk diabetic patients.</w:t>
      </w:r>
    </w:p>
    <w:p w:rsidR="007A224C" w:rsidRPr="007A224C" w:rsidRDefault="007A224C" w:rsidP="007A224C">
      <w:pPr>
        <w:pStyle w:val="Body"/>
      </w:pPr>
      <w:r w:rsidRPr="007A224C">
        <w:t>Objective neuropathy-related assessments further strengthened the clinical relevance of the study findings. Reduced vibration perception and abnormal monofilament test findings were significantly more common among patients with poor clinical outcomes, indicating substantial sensory impairment within this group. These findings are clinically important because vibration perception testing and monofilament examination remain widely recommended, cost-effective screening tools for early detection of diabetic peripheral neuropathy in routine clinical practice (18). The markedly higher prevalence of neurological abnormalities among patients with poor glycemic control supports the concept that worsening metabolic dysregulation is associated not only with symptomatic neuropathy but also with objective sensory dysfunction.</w:t>
      </w:r>
    </w:p>
    <w:p w:rsidR="007A224C" w:rsidRPr="007A224C" w:rsidRDefault="007A224C" w:rsidP="007A224C">
      <w:pPr>
        <w:pStyle w:val="Body"/>
      </w:pPr>
      <w:r w:rsidRPr="007A224C">
        <w:t>The study additionally demonstrated a severity gradient across glycemic control categories. Patients with HbA1c ≥7.0% exhibited substantially higher frequencies of severe neuropathy compared with patients achieving glycemic targets. This progressive increase in neuropathy severity with worsening glycemic control supports earlier evidence indicating that chronic hyperglycemia contributes not only to neuropathy onset but also to disease progression and neurological deterioration (19). The generated figure further illustrated this relationship by demonstrating a clinically meaningful shift from mild neuropathy toward severe neuropathy among patients with poor glycemic status. These findings reinforce the importance of maintaining individualized glycemic targets to reduce both neuropathy occurrence and progression.</w:t>
      </w:r>
    </w:p>
    <w:p w:rsidR="007A224C" w:rsidRPr="007A224C" w:rsidRDefault="007A224C" w:rsidP="007A224C">
      <w:pPr>
        <w:pStyle w:val="Body"/>
      </w:pPr>
      <w:r w:rsidRPr="007A224C">
        <w:t>Although hypertension, obesity, dyslipidemia, and smoking demonstrated positive associations with poor clinical outcomes, these relationships did not achieve statistical significance in the present analysis. Nevertheless, these factors remain clinically relevant because previous studies have identified cardiovascular and metabolic comorbidities as contributors to endothelial dysfunction and peripheral nerve ischemia (20). The absence of statistical significance may reflect sample size limitations, overlapping metabolic risk profiles, or residual confounding. Larger multicenter studies may therefore be necessary to further clarify the independent contribution of these variables to diabetic peripheral neuropathy severity.</w:t>
      </w:r>
    </w:p>
    <w:p w:rsidR="007A224C" w:rsidRPr="007A224C" w:rsidRDefault="007A224C" w:rsidP="007A224C">
      <w:pPr>
        <w:pStyle w:val="Body"/>
      </w:pPr>
      <w:r w:rsidRPr="007A224C">
        <w:t>The findings of this study have important clinical implications for tertiary care and teaching hospital settings. Routine neuropathy screening, strict glycemic monitoring, and early identification of high-risk patients with prolonged diabetes duration or chronic kidney disease may facilitate earlier intervention and reduce neuropathy-related complications. Multidisciplinary management involving endocrinology, rehabilitation medicine, podiatry, and nephrology services may further improve patient outcomes through comprehensive metabolic and neurological care. In addition, strengthening patient education regarding glycemic adherence and lifestyle modification may contribute to reducing progression of neuropathic disease.</w:t>
      </w:r>
    </w:p>
    <w:p w:rsidR="007A224C" w:rsidRPr="007A224C" w:rsidRDefault="007A224C" w:rsidP="007A224C">
      <w:pPr>
        <w:pStyle w:val="Body"/>
      </w:pPr>
      <w:r w:rsidRPr="007A224C">
        <w:lastRenderedPageBreak/>
        <w:t>Several limitations should be considered while interpreting the findings. The cross-sectional design limits causal inference between glycemic control and neuropathic progression. The study was conducted at a single tertiary care institution, which may affect generalizability to broader diabetic populations. Electrophysiological confirmation of neuropathy was not performed, and the analysis relied primarily on clinical assessment methods. Residual confounding from unmeasured variables may also have influenced the observed associations. Despite these limitations, the study provides clinically meaningful evidence supporting the association between poor glycemic control and diabetic peripheral neuropathy in a tertiary care diabetic population and contributes relevant regional data to the existing literature.</w:t>
      </w:r>
    </w:p>
    <w:p w:rsidR="007A224C" w:rsidRPr="007A224C" w:rsidRDefault="007A224C" w:rsidP="007A224C">
      <w:pPr>
        <w:pStyle w:val="Heading1"/>
      </w:pPr>
      <w:r w:rsidRPr="007A224C">
        <w:t>Conclusion</w:t>
      </w:r>
    </w:p>
    <w:p w:rsidR="007A224C" w:rsidRPr="007A224C" w:rsidRDefault="007A224C" w:rsidP="007A224C">
      <w:pPr>
        <w:pStyle w:val="Body"/>
      </w:pPr>
      <w:r w:rsidRPr="007A224C">
        <w:t>In conclusion, poor glycemic control was significantly associated with diabetic peripheral neuropathy and adverse neuropathic outcomes among patients with diabetes mellitus attending the University of Lahore Teaching Hospital. Elevated HbA1c levels, prolonged duration of diabetes, and chronic kidney disease emerged as important predictors of poor clinical outcome, while objective neurological abnormalities including reduced vibration perception and abnormal monofilament findings were markedly more prevalent among affected patients. The study further demonstrated a progressive increase in neuropathy severity among patients with suboptimal glycemic control, highlighting the clinical importance of sustained metabolic regulation in preventing neurological deterioration. These findings emphasize the need for routine neuropathy screening, early risk stratification, and multidisciplinary diabetes management focused on optimizing glycemic control and reducing long-term microvascular complications.</w:t>
      </w:r>
    </w:p>
    <w:p w:rsidR="007A224C" w:rsidRPr="007A224C" w:rsidRDefault="007A224C" w:rsidP="007A224C">
      <w:pPr>
        <w:pStyle w:val="Heading1"/>
      </w:pPr>
      <w:r w:rsidRPr="007A224C">
        <w:t xml:space="preserve">References </w:t>
      </w:r>
    </w:p>
    <w:p w:rsidR="007A224C" w:rsidRPr="007A224C" w:rsidRDefault="007A224C" w:rsidP="007A224C">
      <w:pPr>
        <w:pStyle w:val="Body"/>
      </w:pPr>
      <w:r w:rsidRPr="007A224C">
        <w:t xml:space="preserve">Bondar A, Popa A, Papanas N, Popoviciu M, Vesa C, Sabau M, et al. Diabetic neuropathy: A narrative review of risk factors, classification, screening and current pathogenic treatment options. Exp Ther Med. 2021;22(6):1428. doi:10.3892/etm.2021.10122 </w:t>
      </w:r>
    </w:p>
    <w:p w:rsidR="007A224C" w:rsidRPr="007A224C" w:rsidRDefault="007A224C" w:rsidP="007A224C">
      <w:pPr>
        <w:pStyle w:val="Body"/>
      </w:pPr>
      <w:r w:rsidRPr="007A224C">
        <w:t xml:space="preserve">Sloan G, Selvarajah D, Tesfaye S. Pathogenesis, diagnosis and clinical management of diabetic sensorimotor peripheral neuropathy. Nat Rev Endocrinol. 2021;17(7):400-420. doi:10.1038/s41574-021-00496-z </w:t>
      </w:r>
    </w:p>
    <w:p w:rsidR="007A224C" w:rsidRPr="007A224C" w:rsidRDefault="007A224C" w:rsidP="007A224C">
      <w:pPr>
        <w:pStyle w:val="Body"/>
      </w:pPr>
      <w:r w:rsidRPr="007A224C">
        <w:t xml:space="preserve">Savelieff MG, Elafros M, Viswanathan V, Jensen TS, Bennett DL, Feldman EL. The global and regional burden of diabetic peripheral neuropathy. Nat Rev Neurol. 2024;20(5):289-303. doi:10.1038/s41582-024-01041-y </w:t>
      </w:r>
    </w:p>
    <w:p w:rsidR="007A224C" w:rsidRPr="007A224C" w:rsidRDefault="007A224C" w:rsidP="007A224C">
      <w:pPr>
        <w:pStyle w:val="Body"/>
      </w:pPr>
      <w:r w:rsidRPr="007A224C">
        <w:t xml:space="preserve">Calcutt N. Diabetic neuropathy and neuropathic pain: A (con)fusion of pathogenic mechanisms? Pain. 2020;161(Suppl 1):S65-S86. doi:10.1097/j.pain.0000000000001922 </w:t>
      </w:r>
    </w:p>
    <w:p w:rsidR="007A224C" w:rsidRPr="007A224C" w:rsidRDefault="007A224C" w:rsidP="007A224C">
      <w:pPr>
        <w:pStyle w:val="Body"/>
      </w:pPr>
      <w:r w:rsidRPr="007A224C">
        <w:t xml:space="preserve">Galiero R, Caturano A, Vetrano E, Beccia D, Brin C, Alfano M, et al. Peripheral neuropathy in diabetes mellitus: Pathogenetic mechanisms and diagnostic options. Int J Mol Sci. 2023;24(4):3554. doi:10.3390/ijms24043554 </w:t>
      </w:r>
    </w:p>
    <w:p w:rsidR="007A224C" w:rsidRPr="007A224C" w:rsidRDefault="007A224C" w:rsidP="007A224C">
      <w:pPr>
        <w:pStyle w:val="Body"/>
      </w:pPr>
      <w:r w:rsidRPr="007A224C">
        <w:t xml:space="preserve">American Diabetes Association. Standards of medical care in diabetes—2024. Diabetes Care. 2024;47(Suppl 1):S1-S350. </w:t>
      </w:r>
    </w:p>
    <w:p w:rsidR="007A224C" w:rsidRPr="007A224C" w:rsidRDefault="007A224C" w:rsidP="007A224C">
      <w:pPr>
        <w:pStyle w:val="Body"/>
      </w:pPr>
      <w:r w:rsidRPr="007A224C">
        <w:t xml:space="preserve">Gibbons C. Diabetes and metabolic disorders and the peripheral nervous system. Continuum. 2020;26(5):1283-1303. doi:10.1212/CON.0000000000000906 </w:t>
      </w:r>
    </w:p>
    <w:p w:rsidR="007A224C" w:rsidRPr="007A224C" w:rsidRDefault="007A224C" w:rsidP="007A224C">
      <w:pPr>
        <w:pStyle w:val="Body"/>
      </w:pPr>
      <w:r w:rsidRPr="007A224C">
        <w:t xml:space="preserve">Yang H, Sloan G, Ye Y, Wang S, Duan B, Tesfaye S, Gao L. New perspective in diabetic neuropathy: From the periphery to the brain, a call for early detection, and precision medicine. Front Endocrinol (Lausanne). 2020;10:929. doi:10.3389/fendo.2019.00929 </w:t>
      </w:r>
    </w:p>
    <w:p w:rsidR="007A224C" w:rsidRPr="007A224C" w:rsidRDefault="007A224C" w:rsidP="007A224C">
      <w:pPr>
        <w:pStyle w:val="Body"/>
      </w:pPr>
      <w:r w:rsidRPr="007A224C">
        <w:t xml:space="preserve">Zilliox L. Diabetes and peripheral nerve disease. Clin Geriatr Med. 2021;37(2):253-267. doi:10.1016/j.cger.2020.12.001 </w:t>
      </w:r>
    </w:p>
    <w:p w:rsidR="007A224C" w:rsidRPr="007A224C" w:rsidRDefault="007A224C" w:rsidP="007A224C">
      <w:pPr>
        <w:pStyle w:val="Body"/>
      </w:pPr>
      <w:r w:rsidRPr="007A224C">
        <w:t xml:space="preserve">Nozawa K, Ikeda M, Kikuchi S. Association between HbA1c levels and diabetic peripheral neuropathy: A case-control study of patients with type 2 diabetes using claims data. Drugs Real World Outcomes. 2022;9(1):45-52. doi:10.1007/s40801-022-00309-3 </w:t>
      </w:r>
    </w:p>
    <w:p w:rsidR="007A224C" w:rsidRPr="007A224C" w:rsidRDefault="007A224C" w:rsidP="007A224C">
      <w:pPr>
        <w:pStyle w:val="Body"/>
      </w:pPr>
      <w:r w:rsidRPr="007A224C">
        <w:t xml:space="preserve">Braffett BH, Gubitosi-Klug RA, Albers JW, Feldman EL, Martin CL, White NH, et al. Risk factors for diabetic peripheral neuropathy and cardiovascular autonomic neuropathy in the DCCT/EDIC study. Diabetes. 2020;69(5):1000-1010. doi:10.2337/db19-1046 </w:t>
      </w:r>
    </w:p>
    <w:p w:rsidR="007A224C" w:rsidRPr="007A224C" w:rsidRDefault="007A224C" w:rsidP="007A224C">
      <w:pPr>
        <w:pStyle w:val="Body"/>
      </w:pPr>
      <w:r w:rsidRPr="007A224C">
        <w:lastRenderedPageBreak/>
        <w:t xml:space="preserve">Pinto MV, Pinto LF, Rosa LCGF, Dantas J, Salles GF, Lima MA, et al. HbA1c variability and long-term glycemic control are linked to peripheral neuropathy in patients with type 1 diabetes. Diabetol Metab Syndr. 2020;12:85. doi:10.1186/s13098-020-00594-4 </w:t>
      </w:r>
    </w:p>
    <w:p w:rsidR="007A224C" w:rsidRPr="007A224C" w:rsidRDefault="007A224C" w:rsidP="007A224C">
      <w:pPr>
        <w:pStyle w:val="Body"/>
      </w:pPr>
      <w:r w:rsidRPr="007A224C">
        <w:t xml:space="preserve">Pfannkuche A, Alhajjar A, Ming A, Walter I, Piehler C, Mertens P. Prevalence and risk factors of diabetic peripheral neuropathy in a diabetics cohort: Register initiative “diabetes and nerves”. Endocr Metab Sci. 2020;1:100052. doi:10.1016/j.endmts.2020.100053 </w:t>
      </w:r>
    </w:p>
    <w:p w:rsidR="007A224C" w:rsidRPr="007A224C" w:rsidRDefault="007A224C" w:rsidP="007A224C">
      <w:pPr>
        <w:pStyle w:val="Body"/>
      </w:pPr>
      <w:r w:rsidRPr="007A224C">
        <w:t xml:space="preserve">Billa MS, Sulistiawan A, Subandi A. Relationship between glycemic control and duration of diabetes with diabetic peripheral neuropathy incidence. Mahesa Malahayati Health Student Journal. 2023;3(6):1672-1681. doi:10.33024/mahesa.v3i6.10443 </w:t>
      </w:r>
    </w:p>
    <w:p w:rsidR="007A224C" w:rsidRPr="007A224C" w:rsidRDefault="007A224C" w:rsidP="007A224C">
      <w:pPr>
        <w:pStyle w:val="Body"/>
      </w:pPr>
      <w:r w:rsidRPr="007A224C">
        <w:t xml:space="preserve">Mizokami-Stout KR, Li Z, Foster N, Shah V, Aleppo G, McGill J, et al. The contemporary prevalence of diabetic neuropathy in type 1 diabetes: Findings from the T1D Exchange. Diabetes Care. 2020;43(4):806-812. doi:10.2337/dc19-1583 </w:t>
      </w:r>
    </w:p>
    <w:p w:rsidR="007A224C" w:rsidRPr="007A224C" w:rsidRDefault="007A224C" w:rsidP="007A224C">
      <w:pPr>
        <w:pStyle w:val="Body"/>
      </w:pPr>
      <w:r w:rsidRPr="007A224C">
        <w:t xml:space="preserve">Mayeda L, Katz R, Ahmad I, Bansal N, Batacchi Z, Hirsch I, et al. Glucose time in range and peripheral neuropathy in type 2 diabetes mellitus and chronic kidney disease. BMJ Open Diabetes Res Care. 2020;8(1):e000991. doi:10.1136/bmjdrc-2019-000991 </w:t>
      </w:r>
    </w:p>
    <w:p w:rsidR="007A224C" w:rsidRPr="007A224C" w:rsidRDefault="007A224C" w:rsidP="007A224C">
      <w:pPr>
        <w:pStyle w:val="Body"/>
      </w:pPr>
      <w:r w:rsidRPr="007A224C">
        <w:t xml:space="preserve">Elafros M, Andersen H, Bennett D, Savelieff MG, Viswanathan V, Callaghan B, Feldman EL. Towards prevention of diabetic peripheral neuropathy: Clinical presentation, pathogenesis, and new treatments. Lancet Neurol. 2022;21(10):922-936. doi:10.1016/S1474-4422(22)00188-0 </w:t>
      </w:r>
    </w:p>
    <w:p w:rsidR="007A224C" w:rsidRPr="007A224C" w:rsidRDefault="007A224C" w:rsidP="007A224C">
      <w:pPr>
        <w:pStyle w:val="Body"/>
      </w:pPr>
      <w:r w:rsidRPr="007A224C">
        <w:t xml:space="preserve">Yang K, Wang Y, Li YW, Chen YG, Xing N, Lin HB, et al. Progress in the treatment of diabetic peripheral neuropathy. Biomed Pharmacother. 2022;148:112717. doi:10.1016/j.biopha.2022.112717 </w:t>
      </w:r>
    </w:p>
    <w:p w:rsidR="007A224C" w:rsidRPr="007A224C" w:rsidRDefault="007A224C" w:rsidP="007A224C">
      <w:pPr>
        <w:pStyle w:val="Body"/>
      </w:pPr>
      <w:r w:rsidRPr="007A224C">
        <w:t xml:space="preserve">Zhu J, Hu Z, Luo Y, Liu Y, Luo W, Du X, et al. Diabetic peripheral neuropathy: Pathogenetic mechanisms and treatment. Front Endocrinol (Lausanne). 2024;14:1265372. doi:10.3389/fendo.2023.1265372 </w:t>
      </w:r>
    </w:p>
    <w:p w:rsidR="007A224C" w:rsidRPr="007A224C" w:rsidRDefault="007A224C" w:rsidP="007A224C">
      <w:pPr>
        <w:pStyle w:val="Body"/>
      </w:pPr>
      <w:r w:rsidRPr="007A224C">
        <w:t xml:space="preserve">Yang Y, Zhao B, Wang Y, Lan H, Liu X, Hu Y, Cao P. Diabetic neuropathy: Cutting-edge research and future directions. Signal Transduct Target Ther. 2025;10(1):75. doi:10.1038/s41392-025-02175-1 </w:t>
      </w:r>
    </w:p>
    <w:p w:rsidR="007A224C" w:rsidRPr="007A224C" w:rsidRDefault="007A224C" w:rsidP="007A224C">
      <w:pPr>
        <w:pStyle w:val="Body"/>
      </w:pPr>
    </w:p>
    <w:p w:rsidR="00441E67" w:rsidRPr="004175AC" w:rsidRDefault="00441E67" w:rsidP="007A224C">
      <w:pPr>
        <w:pStyle w:val="Body"/>
      </w:pPr>
    </w:p>
    <w:sectPr w:rsidR="00441E67" w:rsidRPr="004175AC"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271" w:rsidRDefault="00153271" w:rsidP="005146DA">
      <w:pPr>
        <w:spacing w:after="0" w:line="240" w:lineRule="auto"/>
      </w:pPr>
      <w:r>
        <w:separator/>
      </w:r>
    </w:p>
  </w:endnote>
  <w:endnote w:type="continuationSeparator" w:id="0">
    <w:p w:rsidR="00153271" w:rsidRDefault="00153271"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271" w:rsidRDefault="00153271" w:rsidP="005146DA">
      <w:pPr>
        <w:spacing w:after="0" w:line="240" w:lineRule="auto"/>
      </w:pPr>
      <w:r>
        <w:separator/>
      </w:r>
    </w:p>
  </w:footnote>
  <w:footnote w:type="continuationSeparator" w:id="0">
    <w:p w:rsidR="00153271" w:rsidRDefault="00153271"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7A224C">
          <w:rPr>
            <w:rStyle w:val="BodyChar"/>
            <w:rFonts w:cstheme="majorBidi"/>
            <w:color w:val="074F6A"/>
            <w:sz w:val="18"/>
            <w:vertAlign w:val="subscript"/>
          </w:rPr>
          <w:t>2007</w:t>
        </w:r>
        <w:r w:rsidRPr="008F6C61">
          <w:rPr>
            <w:rStyle w:val="BodyChar"/>
            <w:rFonts w:cstheme="majorBidi"/>
            <w:color w:val="074F6A"/>
            <w:sz w:val="18"/>
            <w:vertAlign w:val="subscript"/>
          </w:rPr>
          <w:t xml:space="preserve">| </w:t>
        </w:r>
        <w:r w:rsidR="001D7633">
          <w:rPr>
            <w:rStyle w:val="BodyChar"/>
            <w:rFonts w:cstheme="majorBidi"/>
            <w:color w:val="074F6A"/>
            <w:sz w:val="18"/>
            <w:vertAlign w:val="subscript"/>
          </w:rPr>
          <w:t>2026</w:t>
        </w:r>
        <w:r w:rsidRPr="008F6C61">
          <w:rPr>
            <w:rStyle w:val="BodyChar"/>
            <w:rFonts w:cstheme="majorBidi"/>
            <w:color w:val="074F6A"/>
            <w:sz w:val="18"/>
            <w:vertAlign w:val="subscript"/>
          </w:rPr>
          <w:t>;</w:t>
        </w:r>
        <w:r w:rsidR="001D7633">
          <w:rPr>
            <w:rStyle w:val="BodyChar"/>
            <w:rFonts w:cstheme="majorBidi"/>
            <w:color w:val="074F6A"/>
            <w:sz w:val="18"/>
            <w:vertAlign w:val="subscript"/>
          </w:rPr>
          <w:t>6</w:t>
        </w:r>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7A224C" w:rsidRPr="007A224C">
          <w:rPr>
            <w:rStyle w:val="BodyChar"/>
            <w:rFonts w:cstheme="majorBidi"/>
            <w:noProof/>
            <w:color w:val="074F6A"/>
            <w:vertAlign w:val="subscript"/>
          </w:rPr>
          <w:t>5</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7A224C" w:rsidRPr="007A224C">
      <w:rPr>
        <w:rFonts w:ascii="Plantagenet Cherokee" w:hAnsi="Plantagenet Cherokee"/>
        <w:color w:val="0B769F" w:themeColor="accent4" w:themeShade="BF"/>
        <w:sz w:val="14"/>
        <w:szCs w:val="14"/>
      </w:rPr>
      <w:t>10.61919/jhrr.v6i5.2007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6">
    <w:nsid w:val="3A2B4FEE"/>
    <w:multiLevelType w:val="multilevel"/>
    <w:tmpl w:val="4FF8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7"/>
  </w:num>
  <w:num w:numId="4">
    <w:abstractNumId w:val="12"/>
  </w:num>
  <w:num w:numId="5">
    <w:abstractNumId w:val="13"/>
  </w:num>
  <w:num w:numId="6">
    <w:abstractNumId w:val="3"/>
  </w:num>
  <w:num w:numId="7">
    <w:abstractNumId w:val="15"/>
  </w:num>
  <w:num w:numId="8">
    <w:abstractNumId w:val="9"/>
  </w:num>
  <w:num w:numId="9">
    <w:abstractNumId w:val="1"/>
  </w:num>
  <w:num w:numId="10">
    <w:abstractNumId w:val="11"/>
  </w:num>
  <w:num w:numId="11">
    <w:abstractNumId w:val="2"/>
  </w:num>
  <w:num w:numId="12">
    <w:abstractNumId w:val="0"/>
  </w:num>
  <w:num w:numId="13">
    <w:abstractNumId w:val="4"/>
  </w:num>
  <w:num w:numId="14">
    <w:abstractNumId w:val="8"/>
  </w:num>
  <w:num w:numId="15">
    <w:abstractNumId w:val="16"/>
  </w:num>
  <w:num w:numId="16">
    <w:abstractNumId w:val="10"/>
  </w:num>
  <w:num w:numId="1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4C"/>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51F5C"/>
    <w:rsid w:val="000529A5"/>
    <w:rsid w:val="00053EFB"/>
    <w:rsid w:val="00055152"/>
    <w:rsid w:val="000566F8"/>
    <w:rsid w:val="00057EC7"/>
    <w:rsid w:val="00061461"/>
    <w:rsid w:val="0006178B"/>
    <w:rsid w:val="00063B00"/>
    <w:rsid w:val="0006433A"/>
    <w:rsid w:val="000645AC"/>
    <w:rsid w:val="0006672E"/>
    <w:rsid w:val="00066DE0"/>
    <w:rsid w:val="00075179"/>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271"/>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224C"/>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4:docId w14:val="3F8211ED"/>
  <w15:chartTrackingRefBased/>
  <w15:docId w15:val="{DFB6BCE5-23D4-44E6-B3A1-16B8DD0D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20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6F0E3-FF28-4668-AFAF-A64EAA23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10</TotalTime>
  <Pages>8</Pages>
  <Words>4928</Words>
  <Characters>28094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1</cp:revision>
  <cp:lastPrinted>2026-04-24T11:38:00Z</cp:lastPrinted>
  <dcterms:created xsi:type="dcterms:W3CDTF">2026-06-04T09:11:00Z</dcterms:created>
  <dcterms:modified xsi:type="dcterms:W3CDTF">2026-06-04T09:22:00Z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