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B5" w:rsidRPr="0074006B" w:rsidRDefault="00EB21B5" w:rsidP="00FB11F4">
      <w:pPr>
        <w:pStyle w:val="NoSpacing"/>
        <w:spacing w:before="75" w:after="75"/>
        <w:rPr>
          <w:rFonts w:ascii="Plantagenet Cherokee" w:hAnsi="Plantagenet Cherokee" w:cstheme="majorBidi"/>
          <w:i/>
          <w:iCs/>
          <w:color w:val="000000" w:themeColor="text1"/>
          <w:sz w:val="16"/>
          <w:szCs w:val="16"/>
        </w:rPr>
      </w:pPr>
      <w:r w:rsidRPr="0074006B">
        <w:rPr>
          <w:rFonts w:ascii="Plantagenet Cherokee" w:hAnsi="Plantagenet Cherokee" w:cstheme="majorBidi"/>
          <w:i/>
          <w:iCs/>
          <w:color w:val="000000" w:themeColor="text1"/>
          <w:sz w:val="16"/>
          <w:szCs w:val="16"/>
        </w:rPr>
        <w:t>Original Article</w:t>
      </w:r>
    </w:p>
    <w:p w:rsidR="005C4F64" w:rsidRPr="00BB7230" w:rsidRDefault="00AB3DFE" w:rsidP="00335DDB">
      <w:pPr>
        <w:pStyle w:val="Body"/>
        <w:tabs>
          <w:tab w:val="left" w:pos="3888"/>
        </w:tabs>
        <w:spacing w:line="240" w:lineRule="auto"/>
        <w:rPr>
          <w:rFonts w:cstheme="majorBidi"/>
          <w:b/>
          <w:bCs/>
          <w:color w:val="000000" w:themeColor="text1"/>
          <w:sz w:val="36"/>
          <w:szCs w:val="36"/>
        </w:rPr>
      </w:pPr>
      <w:r w:rsidRPr="00AB3DFE">
        <w:rPr>
          <w:rFonts w:cstheme="majorBidi"/>
          <w:b/>
          <w:bCs/>
          <w:color w:val="000000" w:themeColor="text1"/>
          <w:sz w:val="36"/>
          <w:szCs w:val="36"/>
          <w:lang w:val="en-GB"/>
        </w:rPr>
        <w:t xml:space="preserve">Lifestyle Adherence and Clinical Outcomes </w:t>
      </w:r>
      <w:proofErr w:type="gramStart"/>
      <w:r w:rsidRPr="00AB3DFE">
        <w:rPr>
          <w:rFonts w:cstheme="majorBidi"/>
          <w:b/>
          <w:bCs/>
          <w:color w:val="000000" w:themeColor="text1"/>
          <w:sz w:val="36"/>
          <w:szCs w:val="36"/>
          <w:lang w:val="en-GB"/>
        </w:rPr>
        <w:t>Among</w:t>
      </w:r>
      <w:proofErr w:type="gramEnd"/>
      <w:r w:rsidRPr="00AB3DFE">
        <w:rPr>
          <w:rFonts w:cstheme="majorBidi"/>
          <w:b/>
          <w:bCs/>
          <w:color w:val="000000" w:themeColor="text1"/>
          <w:sz w:val="36"/>
          <w:szCs w:val="36"/>
          <w:lang w:val="en-GB"/>
        </w:rPr>
        <w:t xml:space="preserve"> Hypertensive Patients at </w:t>
      </w:r>
      <w:proofErr w:type="spellStart"/>
      <w:r w:rsidRPr="00AB3DFE">
        <w:rPr>
          <w:rFonts w:cstheme="majorBidi"/>
          <w:b/>
          <w:bCs/>
          <w:color w:val="000000" w:themeColor="text1"/>
          <w:sz w:val="36"/>
          <w:szCs w:val="36"/>
          <w:lang w:val="en-GB"/>
        </w:rPr>
        <w:t>Riphah</w:t>
      </w:r>
      <w:proofErr w:type="spellEnd"/>
      <w:r w:rsidRPr="00AB3DFE">
        <w:rPr>
          <w:rFonts w:cstheme="majorBidi"/>
          <w:b/>
          <w:bCs/>
          <w:color w:val="000000" w:themeColor="text1"/>
          <w:sz w:val="36"/>
          <w:szCs w:val="36"/>
          <w:lang w:val="en-GB"/>
        </w:rPr>
        <w:t xml:space="preserve"> </w:t>
      </w:r>
      <w:proofErr w:type="spellStart"/>
      <w:r w:rsidRPr="00AB3DFE">
        <w:rPr>
          <w:rFonts w:cstheme="majorBidi"/>
          <w:b/>
          <w:bCs/>
          <w:color w:val="000000" w:themeColor="text1"/>
          <w:sz w:val="36"/>
          <w:szCs w:val="36"/>
          <w:lang w:val="en-GB"/>
        </w:rPr>
        <w:t>Rehablitation</w:t>
      </w:r>
      <w:proofErr w:type="spellEnd"/>
      <w:r w:rsidRPr="00AB3DFE">
        <w:rPr>
          <w:rFonts w:cstheme="majorBidi"/>
          <w:b/>
          <w:bCs/>
          <w:color w:val="000000" w:themeColor="text1"/>
          <w:sz w:val="36"/>
          <w:szCs w:val="36"/>
          <w:lang w:val="en-GB"/>
        </w:rPr>
        <w:t xml:space="preserve"> </w:t>
      </w:r>
      <w:proofErr w:type="spellStart"/>
      <w:r w:rsidRPr="00AB3DFE">
        <w:rPr>
          <w:rFonts w:cstheme="majorBidi"/>
          <w:b/>
          <w:bCs/>
          <w:color w:val="000000" w:themeColor="text1"/>
          <w:sz w:val="36"/>
          <w:szCs w:val="36"/>
          <w:lang w:val="en-GB"/>
        </w:rPr>
        <w:t>Center</w:t>
      </w:r>
      <w:proofErr w:type="spellEnd"/>
      <w:r w:rsidRPr="00AB3DFE">
        <w:rPr>
          <w:rFonts w:cstheme="majorBidi"/>
          <w:b/>
          <w:bCs/>
          <w:color w:val="000000" w:themeColor="text1"/>
          <w:sz w:val="36"/>
          <w:szCs w:val="36"/>
          <w:lang w:val="en-GB"/>
        </w:rPr>
        <w:t>: A Cross-Sectional Study</w:t>
      </w:r>
    </w:p>
    <w:p w:rsidR="00E202E9" w:rsidRPr="00BB7230" w:rsidRDefault="007C1877" w:rsidP="007C1877">
      <w:pPr>
        <w:pStyle w:val="Body"/>
        <w:spacing w:before="75" w:after="100"/>
        <w:rPr>
          <w:rFonts w:cstheme="majorBidi"/>
          <w:b/>
          <w:bCs/>
          <w:color w:val="074F6A" w:themeColor="accent4" w:themeShade="80"/>
          <w:sz w:val="24"/>
          <w:szCs w:val="24"/>
        </w:rPr>
      </w:pPr>
      <w:r w:rsidRPr="007C1877">
        <w:rPr>
          <w:rFonts w:cstheme="majorBidi"/>
          <w:b/>
          <w:bCs/>
          <w:color w:val="074F6A" w:themeColor="accent4" w:themeShade="80"/>
          <w:sz w:val="24"/>
          <w:szCs w:val="24"/>
        </w:rPr>
        <w:t xml:space="preserve">Dr. </w:t>
      </w:r>
      <w:proofErr w:type="spellStart"/>
      <w:r w:rsidR="00AB3DFE" w:rsidRPr="00AB3DFE">
        <w:rPr>
          <w:rFonts w:cstheme="majorBidi"/>
          <w:b/>
          <w:bCs/>
          <w:color w:val="074F6A" w:themeColor="accent4" w:themeShade="80"/>
          <w:sz w:val="24"/>
          <w:szCs w:val="24"/>
          <w:lang w:val="en-GB"/>
        </w:rPr>
        <w:t>Humiara</w:t>
      </w:r>
      <w:proofErr w:type="spellEnd"/>
      <w:r w:rsidR="00AB3DFE" w:rsidRPr="00AB3DFE">
        <w:rPr>
          <w:rFonts w:cstheme="majorBidi"/>
          <w:b/>
          <w:bCs/>
          <w:color w:val="074F6A" w:themeColor="accent4" w:themeShade="80"/>
          <w:sz w:val="24"/>
          <w:szCs w:val="24"/>
          <w:lang w:val="en-GB"/>
        </w:rPr>
        <w:t xml:space="preserve"> </w:t>
      </w:r>
      <w:proofErr w:type="spellStart"/>
      <w:r w:rsidR="00AB3DFE" w:rsidRPr="00AB3DFE">
        <w:rPr>
          <w:rFonts w:cstheme="majorBidi"/>
          <w:b/>
          <w:bCs/>
          <w:color w:val="074F6A" w:themeColor="accent4" w:themeShade="80"/>
          <w:sz w:val="24"/>
          <w:szCs w:val="24"/>
          <w:lang w:val="en-GB"/>
        </w:rPr>
        <w:t>Mubashir</w:t>
      </w:r>
      <w:proofErr w:type="spellEnd"/>
      <w:r w:rsidR="00AB3DFE" w:rsidRPr="00AB3DFE">
        <w:rPr>
          <w:rFonts w:cstheme="majorBidi"/>
          <w:b/>
          <w:bCs/>
          <w:color w:val="074F6A" w:themeColor="accent4" w:themeShade="80"/>
          <w:sz w:val="24"/>
          <w:szCs w:val="24"/>
          <w:lang w:val="en-GB"/>
        </w:rPr>
        <w:t xml:space="preserve"> </w:t>
      </w:r>
      <w:r w:rsidRPr="007C1877">
        <w:rPr>
          <w:rFonts w:cstheme="majorBidi"/>
          <w:b/>
          <w:bCs/>
          <w:color w:val="074F6A" w:themeColor="accent4" w:themeShade="80"/>
          <w:sz w:val="24"/>
          <w:szCs w:val="24"/>
        </w:rPr>
        <w:t>¹</w:t>
      </w:r>
    </w:p>
    <w:p w:rsidR="00607EA1" w:rsidRPr="00BB7230" w:rsidRDefault="007C1877" w:rsidP="004175AC">
      <w:pPr>
        <w:pStyle w:val="Body"/>
        <w:spacing w:before="75" w:after="75" w:line="240" w:lineRule="auto"/>
        <w:rPr>
          <w:rFonts w:cstheme="majorBidi"/>
          <w:color w:val="000000" w:themeColor="text1"/>
          <w:sz w:val="18"/>
          <w:szCs w:val="16"/>
        </w:rPr>
      </w:pPr>
      <w:r w:rsidRPr="007C1877">
        <w:rPr>
          <w:rFonts w:cstheme="majorBidi"/>
          <w:color w:val="000000" w:themeColor="text1"/>
          <w:sz w:val="18"/>
          <w:szCs w:val="16"/>
        </w:rPr>
        <w:t>¹</w:t>
      </w:r>
      <w:r w:rsidR="00AB3DFE" w:rsidRPr="00AB3DFE">
        <w:rPr>
          <w:rFonts w:asciiTheme="minorHAnsi" w:hAnsiTheme="minorHAnsi" w:cstheme="minorBidi"/>
          <w:kern w:val="0"/>
          <w:sz w:val="22"/>
          <w:szCs w:val="22"/>
          <w14:ligatures w14:val="none"/>
        </w:rPr>
        <w:t xml:space="preserve"> </w:t>
      </w:r>
      <w:r w:rsidR="00AB3DFE" w:rsidRPr="00AB3DFE">
        <w:rPr>
          <w:rFonts w:cstheme="majorBidi"/>
          <w:color w:val="000000" w:themeColor="text1"/>
          <w:sz w:val="18"/>
          <w:szCs w:val="16"/>
          <w:lang w:val="en-GB"/>
        </w:rPr>
        <w:t xml:space="preserve">Senior lecturer, </w:t>
      </w:r>
      <w:proofErr w:type="spellStart"/>
      <w:r w:rsidR="00AB3DFE" w:rsidRPr="00AB3DFE">
        <w:rPr>
          <w:rFonts w:cstheme="majorBidi"/>
          <w:color w:val="000000" w:themeColor="text1"/>
          <w:sz w:val="18"/>
          <w:szCs w:val="16"/>
          <w:lang w:val="en-GB"/>
        </w:rPr>
        <w:t>Riphah</w:t>
      </w:r>
      <w:proofErr w:type="spellEnd"/>
      <w:r w:rsidR="00AB3DFE" w:rsidRPr="00AB3DFE">
        <w:rPr>
          <w:rFonts w:cstheme="majorBidi"/>
          <w:color w:val="000000" w:themeColor="text1"/>
          <w:sz w:val="18"/>
          <w:szCs w:val="16"/>
          <w:lang w:val="en-GB"/>
        </w:rPr>
        <w:t xml:space="preserve"> </w:t>
      </w:r>
      <w:proofErr w:type="spellStart"/>
      <w:r w:rsidR="00AB3DFE" w:rsidRPr="00AB3DFE">
        <w:rPr>
          <w:rFonts w:cstheme="majorBidi"/>
          <w:color w:val="000000" w:themeColor="text1"/>
          <w:sz w:val="18"/>
          <w:szCs w:val="16"/>
          <w:lang w:val="en-GB"/>
        </w:rPr>
        <w:t>Rehablitation</w:t>
      </w:r>
      <w:proofErr w:type="spellEnd"/>
      <w:r w:rsidR="00AB3DFE" w:rsidRPr="00AB3DFE">
        <w:rPr>
          <w:rFonts w:cstheme="majorBidi"/>
          <w:color w:val="000000" w:themeColor="text1"/>
          <w:sz w:val="18"/>
          <w:szCs w:val="16"/>
          <w:lang w:val="en-GB"/>
        </w:rPr>
        <w:t xml:space="preserve"> </w:t>
      </w:r>
      <w:proofErr w:type="spellStart"/>
      <w:r w:rsidR="00AB3DFE" w:rsidRPr="00AB3DFE">
        <w:rPr>
          <w:rFonts w:cstheme="majorBidi"/>
          <w:color w:val="000000" w:themeColor="text1"/>
          <w:sz w:val="18"/>
          <w:szCs w:val="16"/>
          <w:lang w:val="en-GB"/>
        </w:rPr>
        <w:t>Center</w:t>
      </w:r>
      <w:proofErr w:type="spellEnd"/>
      <w:r w:rsidR="00AB3DFE" w:rsidRPr="00AB3DFE">
        <w:rPr>
          <w:rFonts w:cstheme="majorBidi"/>
          <w:color w:val="000000" w:themeColor="text1"/>
          <w:sz w:val="18"/>
          <w:szCs w:val="16"/>
          <w:lang w:val="en-GB"/>
        </w:rPr>
        <w:t>, Lahore</w:t>
      </w:r>
      <w:r w:rsidRPr="007C1877">
        <w:rPr>
          <w:rFonts w:cstheme="majorBidi"/>
          <w:color w:val="000000" w:themeColor="text1"/>
          <w:sz w:val="18"/>
          <w:szCs w:val="16"/>
        </w:rPr>
        <w:t>, Pakistan</w:t>
      </w:r>
      <w:bookmarkStart w:id="0" w:name="_GoBack"/>
      <w:bookmarkEnd w:id="0"/>
    </w:p>
    <w:p w:rsidR="006461E1" w:rsidRDefault="00ED10B5" w:rsidP="00A32C7B">
      <w:pPr>
        <w:pStyle w:val="Body"/>
        <w:jc w:val="left"/>
        <w:rPr>
          <w:rFonts w:cstheme="majorBidi"/>
          <w:b/>
          <w:bCs/>
          <w:color w:val="074F6A" w:themeColor="accent4" w:themeShade="80"/>
          <w:sz w:val="18"/>
          <w:szCs w:val="16"/>
          <w:lang w:val="pt-BR"/>
        </w:rPr>
      </w:pPr>
      <w:r w:rsidRPr="007C1877">
        <w:rPr>
          <w:rFonts w:cstheme="majorBidi"/>
          <w:b/>
          <w:bCs/>
          <w:color w:val="074F6A" w:themeColor="accent4" w:themeShade="80"/>
          <w:sz w:val="18"/>
          <w:szCs w:val="16"/>
          <w:lang w:val="pt-BR"/>
        </w:rPr>
        <w:t>*</w:t>
      </w:r>
      <w:r w:rsidR="00D74018" w:rsidRPr="007C1877">
        <w:rPr>
          <w:rFonts w:cstheme="majorBidi"/>
          <w:b/>
          <w:bCs/>
          <w:color w:val="074F6A" w:themeColor="accent4" w:themeShade="80"/>
          <w:sz w:val="18"/>
          <w:szCs w:val="16"/>
          <w:lang w:val="pt-BR"/>
        </w:rPr>
        <w:t xml:space="preserve">Correspondence: </w:t>
      </w:r>
      <w:r w:rsidR="007C1877" w:rsidRPr="007C1877">
        <w:rPr>
          <w:rFonts w:cstheme="majorBidi"/>
          <w:b/>
          <w:bCs/>
          <w:color w:val="074F6A" w:themeColor="accent4" w:themeShade="80"/>
          <w:sz w:val="18"/>
          <w:szCs w:val="16"/>
          <w:lang w:val="pt-BR"/>
        </w:rPr>
        <w:t xml:space="preserve">Dr. </w:t>
      </w:r>
      <w:proofErr w:type="spellStart"/>
      <w:r w:rsidR="00AB3DFE" w:rsidRPr="00AB3DFE">
        <w:rPr>
          <w:rFonts w:cstheme="majorBidi"/>
          <w:b/>
          <w:bCs/>
          <w:color w:val="074F6A" w:themeColor="accent4" w:themeShade="80"/>
          <w:sz w:val="18"/>
          <w:szCs w:val="16"/>
          <w:lang w:val="en-GB"/>
        </w:rPr>
        <w:t>Humiara</w:t>
      </w:r>
      <w:proofErr w:type="spellEnd"/>
      <w:r w:rsidR="00AB3DFE" w:rsidRPr="00AB3DFE">
        <w:rPr>
          <w:rFonts w:cstheme="majorBidi"/>
          <w:b/>
          <w:bCs/>
          <w:color w:val="074F6A" w:themeColor="accent4" w:themeShade="80"/>
          <w:sz w:val="18"/>
          <w:szCs w:val="16"/>
          <w:lang w:val="en-GB"/>
        </w:rPr>
        <w:t xml:space="preserve"> </w:t>
      </w:r>
      <w:proofErr w:type="spellStart"/>
      <w:r w:rsidR="00AB3DFE" w:rsidRPr="00AB3DFE">
        <w:rPr>
          <w:rFonts w:cstheme="majorBidi"/>
          <w:b/>
          <w:bCs/>
          <w:color w:val="074F6A" w:themeColor="accent4" w:themeShade="80"/>
          <w:sz w:val="18"/>
          <w:szCs w:val="16"/>
          <w:lang w:val="en-GB"/>
        </w:rPr>
        <w:t>Mubashir</w:t>
      </w:r>
      <w:proofErr w:type="spellEnd"/>
      <w:r w:rsidR="007C1877" w:rsidRPr="007C1877">
        <w:rPr>
          <w:rFonts w:cstheme="majorBidi"/>
          <w:b/>
          <w:bCs/>
          <w:color w:val="074F6A" w:themeColor="accent4" w:themeShade="80"/>
          <w:sz w:val="18"/>
          <w:szCs w:val="16"/>
          <w:lang w:val="pt-BR"/>
        </w:rPr>
        <w:t xml:space="preserve">, </w:t>
      </w:r>
      <w:r w:rsidR="00AB3DFE" w:rsidRPr="00AB3DFE">
        <w:rPr>
          <w:rFonts w:cstheme="majorBidi"/>
          <w:b/>
          <w:bCs/>
          <w:color w:val="074F6A" w:themeColor="accent4" w:themeShade="80"/>
          <w:sz w:val="18"/>
          <w:szCs w:val="16"/>
          <w:lang w:val="en-GB"/>
        </w:rPr>
        <w:t>humiaraanjoo04@gmail</w:t>
      </w:r>
      <w:r w:rsidR="007530B9" w:rsidRPr="007530B9">
        <w:rPr>
          <w:rFonts w:cstheme="majorBidi"/>
          <w:b/>
          <w:bCs/>
          <w:color w:val="074F6A" w:themeColor="accent4" w:themeShade="80"/>
          <w:sz w:val="18"/>
          <w:szCs w:val="16"/>
          <w:lang w:val="pt-BR"/>
        </w:rPr>
        <w:t>.com</w:t>
      </w:r>
    </w:p>
    <w:p w:rsid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hyperlink r:id="rId8" w:history="1">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Cite this Article</w:t>
        </w:r>
      </w:hyperlink>
      <w:r w:rsidRPr="00794854">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r w:rsidRPr="008F6C61">
        <w:rPr>
          <w:rFonts w:ascii="Plantagenet Cherokee" w:hAnsi="Plantagenet Cherokee" w:cstheme="majorBidi"/>
          <w:color w:val="E8E8E8" w:themeColor="background2"/>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Received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07 </w:t>
      </w:r>
      <w:r w:rsidR="00AB3DFE" w:rsidRPr="00AB3DFE">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March</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Accepted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23 </w:t>
      </w:r>
      <w:r w:rsidR="00AB3DFE">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April</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Published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AB3DFE">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31 May</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w:t>
      </w:r>
    </w:p>
    <w:p w:rsidR="007530B9" w:rsidRP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Author Contributions: </w:t>
      </w:r>
      <w:r w:rsidR="00AB3DFE">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Concept: HM; Design: HM; Data Collection: HM; Analysis: HM; Drafting: HM</w:t>
      </w:r>
      <w:r>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Ethical Approval</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proofErr w:type="spellStart"/>
      <w:r w:rsidR="00AB3DFE" w:rsidRPr="00AB3DFE">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Riphah</w:t>
      </w:r>
      <w:proofErr w:type="spellEnd"/>
      <w:r w:rsidR="00AB3DFE" w:rsidRPr="00AB3DFE">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proofErr w:type="spellStart"/>
      <w:r w:rsidR="00AB3DFE" w:rsidRPr="00AB3DFE">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Rehablitation</w:t>
      </w:r>
      <w:proofErr w:type="spellEnd"/>
      <w:r w:rsidR="00AB3DFE" w:rsidRPr="00AB3DFE">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proofErr w:type="spellStart"/>
      <w:r w:rsidR="00AB3DFE" w:rsidRPr="00AB3DFE">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Center</w:t>
      </w:r>
      <w:proofErr w:type="spellEnd"/>
      <w:r w:rsidR="00AB3DFE" w:rsidRPr="00AB3DFE">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Lahore</w:t>
      </w:r>
      <w:r w:rsidRPr="007C187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Pakistan</w:t>
      </w:r>
      <w:r>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Informed Consent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Written informed consent was obtained from all participants;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Conflict of Interest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The authors declare no conflict of interest;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Funding</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No external funding; Data Availability: Available from the corresponding author on reasonable request;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Acknowledgments</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N/A.</w:t>
      </w:r>
    </w:p>
    <w:p w:rsidR="00152188" w:rsidRPr="00BB7230" w:rsidRDefault="00152188" w:rsidP="00B001CB">
      <w:pPr>
        <w:pStyle w:val="Heading1"/>
      </w:pPr>
      <w:r w:rsidRPr="00BB7230">
        <w:t>Abstract</w:t>
      </w:r>
    </w:p>
    <w:p w:rsidR="00AB3DFE" w:rsidRPr="00AB3DFE" w:rsidRDefault="00AB3DFE" w:rsidP="00AB3DFE">
      <w:pPr>
        <w:pStyle w:val="Body"/>
      </w:pPr>
      <w:r w:rsidRPr="00AB3DFE">
        <w:t xml:space="preserve">Background: Lifestyle modification is essential for hypertension control, yet adherence remains poor in routine clinical practice. Objective: To assess lifestyle adherence and clinical outcomes among hypertensive patients at </w:t>
      </w:r>
      <w:proofErr w:type="spellStart"/>
      <w:r w:rsidRPr="00AB3DFE">
        <w:t>Riphah</w:t>
      </w:r>
      <w:proofErr w:type="spellEnd"/>
      <w:r w:rsidRPr="00AB3DFE">
        <w:t xml:space="preserve"> </w:t>
      </w:r>
      <w:proofErr w:type="spellStart"/>
      <w:r w:rsidRPr="00AB3DFE">
        <w:t>Rehablitation</w:t>
      </w:r>
      <w:proofErr w:type="spellEnd"/>
      <w:r w:rsidRPr="00AB3DFE">
        <w:t xml:space="preserve"> </w:t>
      </w:r>
      <w:proofErr w:type="spellStart"/>
      <w:r w:rsidRPr="00AB3DFE">
        <w:t>Center</w:t>
      </w:r>
      <w:proofErr w:type="spellEnd"/>
      <w:r w:rsidRPr="00AB3DFE">
        <w:t xml:space="preserve">. Methods: This cross-sectional study included 317 patients. Demographic, clinical, lifestyle adherence, disease-related knowledge, and </w:t>
      </w:r>
      <w:proofErr w:type="spellStart"/>
      <w:r w:rsidRPr="00AB3DFE">
        <w:t>cardiometabolic</w:t>
      </w:r>
      <w:proofErr w:type="spellEnd"/>
      <w:r w:rsidRPr="00AB3DFE">
        <w:t xml:space="preserve"> outcome variables were </w:t>
      </w:r>
      <w:proofErr w:type="spellStart"/>
      <w:r w:rsidRPr="00AB3DFE">
        <w:t>analyzed</w:t>
      </w:r>
      <w:proofErr w:type="spellEnd"/>
      <w:r w:rsidRPr="00AB3DFE">
        <w:t xml:space="preserve">. Poor clinical outcome predictors were assessed using multivariable logistic regression. Results: The mean age was 64.8 ± 13.9 years, and 66.6% were female. Overall lifestyle adherence was observed in only 23.7% of participants, while 76.3% had poor clinical outcomes. LDL cholesterol was not at goal in 59.9%, BMI was not at goal in 79.8%, and inadequate physical activity was reported by 65.6%. Independent predictors of poor clinical outcome included age ≥65 years, diabetes mellitus, metabolic syndrome, poor disease-related knowledge, and family history of </w:t>
      </w:r>
      <w:proofErr w:type="spellStart"/>
      <w:r w:rsidRPr="00AB3DFE">
        <w:t>cardiometabolic</w:t>
      </w:r>
      <w:proofErr w:type="spellEnd"/>
      <w:r w:rsidRPr="00AB3DFE">
        <w:t xml:space="preserve"> disease. Secondary or higher education and income above the median were protective factors. Conclusion: Poor lifestyle adherence and adverse clinical outcomes were highly prevalent among hypertensive patients. Structured lifestyle counseling, patient education, and targeted </w:t>
      </w:r>
      <w:proofErr w:type="spellStart"/>
      <w:r w:rsidRPr="00AB3DFE">
        <w:t>cardiometabolic</w:t>
      </w:r>
      <w:proofErr w:type="spellEnd"/>
      <w:r w:rsidRPr="00AB3DFE">
        <w:t xml:space="preserve"> risk management are needed to improve hypertension outcomes. Keywords: Hypertension, Lifestyle Adherence, Clinical Outcomes, Metabolic Syndrome, Patient Education, Teaching Hospital. </w:t>
      </w:r>
    </w:p>
    <w:p w:rsidR="00AB3DFE" w:rsidRPr="00AB3DFE" w:rsidRDefault="00AB3DFE" w:rsidP="00B001CB">
      <w:pPr>
        <w:pStyle w:val="Heading1"/>
      </w:pPr>
      <w:r>
        <w:t>I</w:t>
      </w:r>
      <w:r w:rsidRPr="00AB3DFE">
        <w:t>ntroduction</w:t>
      </w:r>
    </w:p>
    <w:p w:rsidR="00AB3DFE" w:rsidRPr="00AB3DFE" w:rsidRDefault="00AB3DFE" w:rsidP="00AB3DFE">
      <w:pPr>
        <w:pStyle w:val="Body"/>
      </w:pPr>
      <w:r w:rsidRPr="00AB3DFE">
        <w:t xml:space="preserve">Hypertension remains a leading modifiable contributor to cardiovascular morbidity, premature mortality, and health-system burden worldwide, yet effective control depends not only on pharmacological treatment but also on sustained adherence to lifestyle modification. Recommended lifestyle measures, including dietary regulation, sodium restriction, regular physical activity, weight control, smoking avoidance, and </w:t>
      </w:r>
      <w:proofErr w:type="spellStart"/>
      <w:r w:rsidRPr="00AB3DFE">
        <w:t>cardiometabolic</w:t>
      </w:r>
      <w:proofErr w:type="spellEnd"/>
      <w:r w:rsidRPr="00AB3DFE">
        <w:t xml:space="preserve"> risk reduction, are central components of hypertension management and are strongly associated with improved blood pressure control and reduced cardiovascular risk (1). Despite this, adherence to lifestyle recommendations among hypertensive patients remains suboptimal across diverse clinical settings, particularly where older age, limited education, comorbid diabetes, dyslipidemia, obesity, and poor disease-related knowledge coexist (2).</w:t>
      </w:r>
    </w:p>
    <w:p w:rsidR="00AB3DFE" w:rsidRPr="00AB3DFE" w:rsidRDefault="00AB3DFE" w:rsidP="00AB3DFE">
      <w:pPr>
        <w:pStyle w:val="Body"/>
      </w:pPr>
      <w:r w:rsidRPr="00AB3DFE">
        <w:t>Previous studies have shown that lifestyle adherence in hypertension is influenced by socioeconomic status, health literacy, patient knowledge, comorbidity burden, and access to structured counseling (3</w:t>
      </w:r>
      <w:proofErr w:type="gramStart"/>
      <w:r w:rsidRPr="00AB3DFE">
        <w:t>,4</w:t>
      </w:r>
      <w:proofErr w:type="gramEnd"/>
      <w:r w:rsidRPr="00AB3DFE">
        <w:t xml:space="preserve">). Evidence also suggests that poor adherence contributes to uncontrolled </w:t>
      </w:r>
      <w:proofErr w:type="spellStart"/>
      <w:r w:rsidRPr="00AB3DFE">
        <w:t>cardiometabolic</w:t>
      </w:r>
      <w:proofErr w:type="spellEnd"/>
      <w:r w:rsidRPr="00AB3DFE">
        <w:t xml:space="preserve"> risk profiles, including elevated body mass index, increased waist circumference, inadequate physical activity, and failure to achieve lipid targets (5). However, limited local hospital-based evidence is available on how lifestyle adherence and clinical outcomes interact among hypertensive patients receiving care in teaching-hospital settings, where patient education, follow-up care, and multidisciplinary counseling may substantially influence disease control.</w:t>
      </w:r>
    </w:p>
    <w:p w:rsidR="00AB3DFE" w:rsidRPr="00AB3DFE" w:rsidRDefault="00AB3DFE" w:rsidP="00AB3DFE">
      <w:pPr>
        <w:pStyle w:val="Body"/>
      </w:pPr>
      <w:r w:rsidRPr="00AB3DFE">
        <w:t xml:space="preserve">At </w:t>
      </w:r>
      <w:proofErr w:type="spellStart"/>
      <w:r w:rsidRPr="00AB3DFE">
        <w:t>Riphah</w:t>
      </w:r>
      <w:proofErr w:type="spellEnd"/>
      <w:r w:rsidRPr="00AB3DFE">
        <w:t xml:space="preserve"> </w:t>
      </w:r>
      <w:proofErr w:type="spellStart"/>
      <w:r w:rsidRPr="00AB3DFE">
        <w:t>Rehablitation</w:t>
      </w:r>
      <w:proofErr w:type="spellEnd"/>
      <w:r w:rsidRPr="00AB3DFE">
        <w:t xml:space="preserve"> Center, patients with hypertension frequently present with overlapping </w:t>
      </w:r>
      <w:proofErr w:type="spellStart"/>
      <w:r w:rsidRPr="00AB3DFE">
        <w:t>cardiometabolic</w:t>
      </w:r>
      <w:proofErr w:type="spellEnd"/>
      <w:r w:rsidRPr="00AB3DFE">
        <w:t xml:space="preserve"> risk factors, including diabetes mellitus, dyslipidemia, obesity, and metabolic syndrome. In the present study dataset, only 23.7% of participants demonstrated overall lifestyle adherence, while 76.3% had poor overall clinical outcomes, indicating a substantial gap between recommended care and achieved risk </w:t>
      </w:r>
      <w:proofErr w:type="gramStart"/>
      <w:r w:rsidRPr="00AB3DFE">
        <w:t>control .</w:t>
      </w:r>
      <w:proofErr w:type="gramEnd"/>
      <w:r w:rsidRPr="00AB3DFE">
        <w:t xml:space="preserve"> These findings justify focused investigation into the </w:t>
      </w:r>
      <w:proofErr w:type="spellStart"/>
      <w:r w:rsidRPr="00AB3DFE">
        <w:t>sociodemographic</w:t>
      </w:r>
      <w:proofErr w:type="spellEnd"/>
      <w:r w:rsidRPr="00AB3DFE">
        <w:t>, clinical, and knowledge-related predictors of poor outcomes among hypertensive patients.</w:t>
      </w:r>
    </w:p>
    <w:p w:rsidR="00AB3DFE" w:rsidRPr="00AB3DFE" w:rsidRDefault="00AB3DFE" w:rsidP="00AB3DFE">
      <w:pPr>
        <w:pStyle w:val="Body"/>
      </w:pPr>
      <w:r w:rsidRPr="00AB3DFE">
        <w:lastRenderedPageBreak/>
        <w:t xml:space="preserve">Therefore, this study aimed to assess lifestyle adherence and its association with clinical outcomes among hypertensive patients at </w:t>
      </w:r>
      <w:proofErr w:type="spellStart"/>
      <w:r w:rsidRPr="00AB3DFE">
        <w:t>Riphah</w:t>
      </w:r>
      <w:proofErr w:type="spellEnd"/>
      <w:r w:rsidRPr="00AB3DFE">
        <w:t xml:space="preserve"> </w:t>
      </w:r>
      <w:proofErr w:type="spellStart"/>
      <w:r w:rsidRPr="00AB3DFE">
        <w:t>Rehablitation</w:t>
      </w:r>
      <w:proofErr w:type="spellEnd"/>
      <w:r w:rsidRPr="00AB3DFE">
        <w:t xml:space="preserve"> Center. The study further sought to identify independent predictors of poor clinical outcome, including age, sex, education, income, diabetes mellitus, metabolic syndrome, disease-related knowledge, and family history of </w:t>
      </w:r>
      <w:proofErr w:type="spellStart"/>
      <w:r w:rsidRPr="00AB3DFE">
        <w:t>cardiometabolic</w:t>
      </w:r>
      <w:proofErr w:type="spellEnd"/>
      <w:r w:rsidRPr="00AB3DFE">
        <w:t xml:space="preserve"> disease.</w:t>
      </w:r>
    </w:p>
    <w:p w:rsidR="00AB3DFE" w:rsidRPr="00AB3DFE" w:rsidRDefault="00B001CB" w:rsidP="00B001CB">
      <w:pPr>
        <w:pStyle w:val="Heading1"/>
      </w:pPr>
      <w:r>
        <w:t>Material AND</w:t>
      </w:r>
      <w:r w:rsidR="00AB3DFE" w:rsidRPr="00AB3DFE">
        <w:t xml:space="preserve"> METHOD</w:t>
      </w:r>
    </w:p>
    <w:p w:rsidR="00AB3DFE" w:rsidRPr="00AB3DFE" w:rsidRDefault="00AB3DFE" w:rsidP="00AB3DFE">
      <w:pPr>
        <w:pStyle w:val="Body"/>
      </w:pPr>
      <w:r w:rsidRPr="00AB3DFE">
        <w:t xml:space="preserve">A hospital-based cross-sectional observational study was conducted at </w:t>
      </w:r>
      <w:proofErr w:type="spellStart"/>
      <w:r w:rsidRPr="00AB3DFE">
        <w:t>Riphah</w:t>
      </w:r>
      <w:proofErr w:type="spellEnd"/>
      <w:r w:rsidRPr="00AB3DFE">
        <w:t xml:space="preserve"> </w:t>
      </w:r>
      <w:proofErr w:type="spellStart"/>
      <w:r w:rsidRPr="00AB3DFE">
        <w:t>Rehablitation</w:t>
      </w:r>
      <w:proofErr w:type="spellEnd"/>
      <w:r w:rsidRPr="00AB3DFE">
        <w:t xml:space="preserve"> Center to evaluate lifestyle adherence and associated clinical outcomes among hypertensive patients attending outpatient follow-up services. The study was performed over a predefined data collection period among adult patients receiving routine hypertension-related care. The cross-sectional design was selected because it allowed simultaneous assessment of lifestyle behaviors, </w:t>
      </w:r>
      <w:proofErr w:type="spellStart"/>
      <w:r w:rsidRPr="00AB3DFE">
        <w:t>cardiometabolic</w:t>
      </w:r>
      <w:proofErr w:type="spellEnd"/>
      <w:r w:rsidRPr="00AB3DFE">
        <w:t xml:space="preserve"> risk factors, and clinical outcomes within a real-world clinical population while enabling evaluation of independent predictors associated with poor outcomes.</w:t>
      </w:r>
    </w:p>
    <w:p w:rsidR="00AB3DFE" w:rsidRPr="00AB3DFE" w:rsidRDefault="00AB3DFE" w:rsidP="00AB3DFE">
      <w:pPr>
        <w:pStyle w:val="Body"/>
      </w:pPr>
      <w:r w:rsidRPr="00AB3DFE">
        <w:t xml:space="preserve">Adult patients diagnosed with hypertension and attending chronic disease or medical outpatient clinics during the study period were considered eligible for participation. Patients aged 18 years or older with a confirmed diagnosis of hypertension and willingness to participate were included. Individuals with severe cognitive impairment, acute medical instability, pregnancy-related hypertension, or incomplete clinical information were excluded to preserve data validity and minimize classification bias. Participants were recruited using a consecutive sampling approach during routine clinic attendance until the required sample size of 317 participants was </w:t>
      </w:r>
      <w:proofErr w:type="gramStart"/>
      <w:r w:rsidRPr="00AB3DFE">
        <w:t>achieved .</w:t>
      </w:r>
      <w:proofErr w:type="gramEnd"/>
      <w:r w:rsidRPr="00AB3DFE">
        <w:t xml:space="preserve"> Written informed consent was obtained from all participants before enrollment, and confidentiality of collected information was maintained throughout the study process.</w:t>
      </w:r>
    </w:p>
    <w:p w:rsidR="00AB3DFE" w:rsidRPr="00AB3DFE" w:rsidRDefault="00AB3DFE" w:rsidP="00AB3DFE">
      <w:pPr>
        <w:pStyle w:val="Body"/>
      </w:pPr>
      <w:r w:rsidRPr="00AB3DFE">
        <w:t xml:space="preserve">Data were collected using a structured interviewer-administered questionnaire combined with clinical record review and anthropometric assessment. </w:t>
      </w:r>
      <w:proofErr w:type="spellStart"/>
      <w:r w:rsidRPr="00AB3DFE">
        <w:t>Sociodemographic</w:t>
      </w:r>
      <w:proofErr w:type="spellEnd"/>
      <w:r w:rsidRPr="00AB3DFE">
        <w:t xml:space="preserve"> variables included age, sex, educational status, income level, smoking status, alcohol use, and family history of </w:t>
      </w:r>
      <w:proofErr w:type="spellStart"/>
      <w:r w:rsidRPr="00AB3DFE">
        <w:t>cardiometabolic</w:t>
      </w:r>
      <w:proofErr w:type="spellEnd"/>
      <w:r w:rsidRPr="00AB3DFE">
        <w:t xml:space="preserve"> disease. Clinical variables included hypertension status, diabetes mellitus, dyslipidemia, obesity, metabolic syndrome, body mass index, waist circumference, and low-density lipoprotein cholesterol levels. Lifestyle adherence variables assessed adherence to sodium restriction, dietary recommendations, fruit and vegetable intake, physical activity, and disease-related knowledge. Standardized measurement procedures were used for anthropometric assessment, including body weight, height, and waist circumference. Body mass index was calculated as weight in kilograms divided by height in meters squared. Lifestyle adherence scores were generated using predefined criteria based on adherence to recommended behavioral modifications for hypertension management.</w:t>
      </w:r>
    </w:p>
    <w:p w:rsidR="00AB3DFE" w:rsidRPr="00AB3DFE" w:rsidRDefault="00AB3DFE" w:rsidP="00AB3DFE">
      <w:pPr>
        <w:pStyle w:val="Body"/>
      </w:pPr>
      <w:r w:rsidRPr="00AB3DFE">
        <w:t xml:space="preserve">The primary study outcome was overall clinical outcome status, categorized as good or poor clinical outcome according to combined assessment of adherence-related and </w:t>
      </w:r>
      <w:proofErr w:type="spellStart"/>
      <w:r w:rsidRPr="00AB3DFE">
        <w:t>cardiometabolic</w:t>
      </w:r>
      <w:proofErr w:type="spellEnd"/>
      <w:r w:rsidRPr="00AB3DFE">
        <w:t xml:space="preserve"> indicators. Operational definitions were established before analysis to ensure consistency in classification. Adequate physical activity, dietary adherence, sodium restriction adherence, and target attainment for body mass index and LDL cholesterol were categorized according to accepted hypertension-management recommendations. Disease-related knowledge was classified as average/good or poor based on questionnaire scoring thresholds. To minimize interviewer and information bias, all data collectors received standardized training before study initiation, and data collection tools were pilot-tested before implementation. Double-checking of completed questionnaires and routine verification against medical records were performed to ensure completeness and data integrity.</w:t>
      </w:r>
    </w:p>
    <w:p w:rsidR="00AB3DFE" w:rsidRPr="00AB3DFE" w:rsidRDefault="00AB3DFE" w:rsidP="00AB3DFE">
      <w:pPr>
        <w:pStyle w:val="Body"/>
      </w:pPr>
      <w:r w:rsidRPr="00AB3DFE">
        <w:t xml:space="preserve">The sample size was considered adequate to estimate prevalence measures and identify clinically relevant associations between lifestyle adherence variables and poor clinical outcomes with sufficient statistical precision. Data were entered, cleaned, and analyzed using Statistical Package for the Social Sciences software. Descriptive statistics were reported as frequencies, percentages, means with standard deviations, or medians with interquartile ranges where appropriate. Inferential analysis was conducted to identify predictors of poor clinical outcome. Binary logistic regression analysis was initially performed to evaluate crude associations between independent variables and outcome status. Variables with clinical relevance or statistical significance in </w:t>
      </w:r>
      <w:proofErr w:type="spellStart"/>
      <w:r w:rsidRPr="00AB3DFE">
        <w:t>univariate</w:t>
      </w:r>
      <w:proofErr w:type="spellEnd"/>
      <w:r w:rsidRPr="00AB3DFE">
        <w:t xml:space="preserve"> analysis were entered into multivariable logistic regression models to calculate adjusted odds ratios with 95% confidence intervals. Statistical significance was defined as a two-sided p-value of less than 0.05. Missing or incomplete observations were reviewed before final analysis, and records with substantial missing information affecting primary variables were excluded from inferential modeling to reduce analytical bias.</w:t>
      </w:r>
    </w:p>
    <w:p w:rsidR="00AB3DFE" w:rsidRPr="00AB3DFE" w:rsidRDefault="00AB3DFE" w:rsidP="00AB3DFE">
      <w:pPr>
        <w:pStyle w:val="Body"/>
      </w:pPr>
      <w:r w:rsidRPr="00AB3DFE">
        <w:t xml:space="preserve">Potential confounding was addressed through multivariable adjustment for demographic, socioeconomic, and clinical covariates including age, sex, education, income, diabetes mellitus, metabolic syndrome, and family </w:t>
      </w:r>
      <w:r w:rsidRPr="00AB3DFE">
        <w:lastRenderedPageBreak/>
        <w:t xml:space="preserve">history of </w:t>
      </w:r>
      <w:proofErr w:type="spellStart"/>
      <w:r w:rsidRPr="00AB3DFE">
        <w:t>cardiometabolic</w:t>
      </w:r>
      <w:proofErr w:type="spellEnd"/>
      <w:r w:rsidRPr="00AB3DFE">
        <w:t xml:space="preserve"> disease. Internal consistency checks and standardized coding procedures were applied during data entry and analysis to improve reproducibility and analytical transparency. Ethical approval for the study was obtained from the institutional ethical review committee of </w:t>
      </w:r>
      <w:proofErr w:type="spellStart"/>
      <w:r w:rsidRPr="00AB3DFE">
        <w:t>Riphah</w:t>
      </w:r>
      <w:proofErr w:type="spellEnd"/>
      <w:r w:rsidRPr="00AB3DFE">
        <w:t xml:space="preserve"> </w:t>
      </w:r>
      <w:proofErr w:type="spellStart"/>
      <w:r w:rsidRPr="00AB3DFE">
        <w:t>Rehablitation</w:t>
      </w:r>
      <w:proofErr w:type="spellEnd"/>
      <w:r w:rsidRPr="00AB3DFE">
        <w:t xml:space="preserve"> Center before commencement of data collection, and the study was conducted in accordance with the ethical principles outlined in the Declaration of Helsinki.</w:t>
      </w:r>
    </w:p>
    <w:p w:rsidR="00AB3DFE" w:rsidRPr="00AB3DFE" w:rsidRDefault="00AB3DFE" w:rsidP="00B001CB">
      <w:pPr>
        <w:pStyle w:val="Heading1"/>
      </w:pPr>
      <w:r w:rsidRPr="00AB3DFE">
        <w:t>Results</w:t>
      </w:r>
    </w:p>
    <w:p w:rsidR="00AB3DFE" w:rsidRPr="00AB3DFE" w:rsidRDefault="00AB3DFE" w:rsidP="00AB3DFE">
      <w:pPr>
        <w:pStyle w:val="Body"/>
      </w:pPr>
      <w:r w:rsidRPr="00AB3DFE">
        <w:t xml:space="preserve">A total of 317 participants were included in the final analysis. The mean age of the study population was 64.8 ± 13.9 years, and females constituted 66.6% of the participants. The mean body mass index was 28.7 ± 5.4 kg/m², while 70.0% of participants had waist circumference values above recommended targets. Current smokers accounted for 19.9% of the study population, whereas 86.1% reported alcohol abstinence. Secondary or higher education was observed in 44.8% of participants, and 40.4% had monthly income above the median level. A family history of </w:t>
      </w:r>
      <w:proofErr w:type="spellStart"/>
      <w:r w:rsidRPr="00AB3DFE">
        <w:t>cardiometabolic</w:t>
      </w:r>
      <w:proofErr w:type="spellEnd"/>
      <w:r w:rsidRPr="00AB3DFE">
        <w:t xml:space="preserve"> disease was present in 43.2% of patients (Table 1</w:t>
      </w:r>
      <w:proofErr w:type="gramStart"/>
      <w:r w:rsidRPr="00AB3DFE">
        <w:t>) .</w:t>
      </w:r>
      <w:proofErr w:type="gramEnd"/>
    </w:p>
    <w:p w:rsidR="00AB3DFE" w:rsidRPr="00AB3DFE" w:rsidRDefault="00AB3DFE" w:rsidP="00B001CB">
      <w:pPr>
        <w:pStyle w:val="Caption"/>
      </w:pPr>
      <w:r w:rsidRPr="00AB3DFE">
        <w:t>Table 1. Baseline Demographic and Clinical Characteristics of Participants (n=317)</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243"/>
        <w:gridCol w:w="511"/>
        <w:gridCol w:w="1971"/>
        <w:gridCol w:w="1302"/>
      </w:tblGrid>
      <w:tr w:rsidR="00AB3DFE" w:rsidRPr="00B001CB" w:rsidTr="00B001CB">
        <w:trPr>
          <w:tblHeader/>
          <w:tblCellSpacing w:w="0" w:type="dxa"/>
        </w:trPr>
        <w:tc>
          <w:tcPr>
            <w:tcW w:w="2904"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Variable</w:t>
            </w:r>
          </w:p>
        </w:tc>
        <w:tc>
          <w:tcPr>
            <w:tcW w:w="283"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n</w:t>
            </w:r>
          </w:p>
        </w:tc>
        <w:tc>
          <w:tcPr>
            <w:tcW w:w="1092"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 / Mean ± SD</w:t>
            </w:r>
          </w:p>
        </w:tc>
        <w:tc>
          <w:tcPr>
            <w:tcW w:w="721"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p-value</w:t>
            </w:r>
          </w:p>
        </w:tc>
      </w:tr>
      <w:tr w:rsidR="00AB3DFE" w:rsidRPr="00B001CB" w:rsidTr="00B001CB">
        <w:trPr>
          <w:tblCellSpacing w:w="0" w:type="dxa"/>
        </w:trPr>
        <w:tc>
          <w:tcPr>
            <w:tcW w:w="290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Age, years</w:t>
            </w:r>
          </w:p>
        </w:tc>
        <w:tc>
          <w:tcPr>
            <w:tcW w:w="28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317</w:t>
            </w:r>
          </w:p>
        </w:tc>
        <w:tc>
          <w:tcPr>
            <w:tcW w:w="1092"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64.8 ± 13.9</w:t>
            </w:r>
          </w:p>
        </w:tc>
        <w:tc>
          <w:tcPr>
            <w:tcW w:w="7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w:t>
            </w:r>
          </w:p>
        </w:tc>
      </w:tr>
      <w:tr w:rsidR="00AB3DFE" w:rsidRPr="00B001CB" w:rsidTr="00B001CB">
        <w:trPr>
          <w:tblCellSpacing w:w="0" w:type="dxa"/>
        </w:trPr>
        <w:tc>
          <w:tcPr>
            <w:tcW w:w="290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Female sex</w:t>
            </w:r>
          </w:p>
        </w:tc>
        <w:tc>
          <w:tcPr>
            <w:tcW w:w="28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211</w:t>
            </w:r>
          </w:p>
        </w:tc>
        <w:tc>
          <w:tcPr>
            <w:tcW w:w="1092"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66.6</w:t>
            </w:r>
          </w:p>
        </w:tc>
        <w:tc>
          <w:tcPr>
            <w:tcW w:w="7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0.041</w:t>
            </w:r>
          </w:p>
        </w:tc>
      </w:tr>
      <w:tr w:rsidR="00AB3DFE" w:rsidRPr="00B001CB" w:rsidTr="00B001CB">
        <w:trPr>
          <w:tblCellSpacing w:w="0" w:type="dxa"/>
        </w:trPr>
        <w:tc>
          <w:tcPr>
            <w:tcW w:w="290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Male sex</w:t>
            </w:r>
          </w:p>
        </w:tc>
        <w:tc>
          <w:tcPr>
            <w:tcW w:w="28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106</w:t>
            </w:r>
          </w:p>
        </w:tc>
        <w:tc>
          <w:tcPr>
            <w:tcW w:w="1092"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33.4</w:t>
            </w:r>
          </w:p>
        </w:tc>
        <w:tc>
          <w:tcPr>
            <w:tcW w:w="7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Reference</w:t>
            </w:r>
          </w:p>
        </w:tc>
      </w:tr>
      <w:tr w:rsidR="00AB3DFE" w:rsidRPr="00B001CB" w:rsidTr="00B001CB">
        <w:trPr>
          <w:tblCellSpacing w:w="0" w:type="dxa"/>
        </w:trPr>
        <w:tc>
          <w:tcPr>
            <w:tcW w:w="290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BMI, kg/m²</w:t>
            </w:r>
          </w:p>
        </w:tc>
        <w:tc>
          <w:tcPr>
            <w:tcW w:w="28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317</w:t>
            </w:r>
          </w:p>
        </w:tc>
        <w:tc>
          <w:tcPr>
            <w:tcW w:w="1092"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28.7 ± 5.4</w:t>
            </w:r>
          </w:p>
        </w:tc>
        <w:tc>
          <w:tcPr>
            <w:tcW w:w="7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0.008</w:t>
            </w:r>
          </w:p>
        </w:tc>
      </w:tr>
      <w:tr w:rsidR="00AB3DFE" w:rsidRPr="00B001CB" w:rsidTr="00B001CB">
        <w:trPr>
          <w:tblCellSpacing w:w="0" w:type="dxa"/>
        </w:trPr>
        <w:tc>
          <w:tcPr>
            <w:tcW w:w="290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Waist circumference above target</w:t>
            </w:r>
          </w:p>
        </w:tc>
        <w:tc>
          <w:tcPr>
            <w:tcW w:w="28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222</w:t>
            </w:r>
          </w:p>
        </w:tc>
        <w:tc>
          <w:tcPr>
            <w:tcW w:w="1092"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70.0</w:t>
            </w:r>
          </w:p>
        </w:tc>
        <w:tc>
          <w:tcPr>
            <w:tcW w:w="7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&lt;0.001</w:t>
            </w:r>
          </w:p>
        </w:tc>
      </w:tr>
      <w:tr w:rsidR="00AB3DFE" w:rsidRPr="00B001CB" w:rsidTr="00B001CB">
        <w:trPr>
          <w:tblCellSpacing w:w="0" w:type="dxa"/>
        </w:trPr>
        <w:tc>
          <w:tcPr>
            <w:tcW w:w="290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Current smoker</w:t>
            </w:r>
          </w:p>
        </w:tc>
        <w:tc>
          <w:tcPr>
            <w:tcW w:w="28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63</w:t>
            </w:r>
          </w:p>
        </w:tc>
        <w:tc>
          <w:tcPr>
            <w:tcW w:w="1092"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19.9</w:t>
            </w:r>
          </w:p>
        </w:tc>
        <w:tc>
          <w:tcPr>
            <w:tcW w:w="7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0.029</w:t>
            </w:r>
          </w:p>
        </w:tc>
      </w:tr>
      <w:tr w:rsidR="00AB3DFE" w:rsidRPr="00B001CB" w:rsidTr="00B001CB">
        <w:trPr>
          <w:tblCellSpacing w:w="0" w:type="dxa"/>
        </w:trPr>
        <w:tc>
          <w:tcPr>
            <w:tcW w:w="290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Alcohol abstinence</w:t>
            </w:r>
          </w:p>
        </w:tc>
        <w:tc>
          <w:tcPr>
            <w:tcW w:w="28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273</w:t>
            </w:r>
          </w:p>
        </w:tc>
        <w:tc>
          <w:tcPr>
            <w:tcW w:w="1092"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86.1</w:t>
            </w:r>
          </w:p>
        </w:tc>
        <w:tc>
          <w:tcPr>
            <w:tcW w:w="7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0.117</w:t>
            </w:r>
          </w:p>
        </w:tc>
      </w:tr>
      <w:tr w:rsidR="00AB3DFE" w:rsidRPr="00B001CB" w:rsidTr="00B001CB">
        <w:trPr>
          <w:tblCellSpacing w:w="0" w:type="dxa"/>
        </w:trPr>
        <w:tc>
          <w:tcPr>
            <w:tcW w:w="290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Secondary or higher education</w:t>
            </w:r>
          </w:p>
        </w:tc>
        <w:tc>
          <w:tcPr>
            <w:tcW w:w="28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142</w:t>
            </w:r>
          </w:p>
        </w:tc>
        <w:tc>
          <w:tcPr>
            <w:tcW w:w="1092"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44.8</w:t>
            </w:r>
          </w:p>
        </w:tc>
        <w:tc>
          <w:tcPr>
            <w:tcW w:w="7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0.005</w:t>
            </w:r>
          </w:p>
        </w:tc>
      </w:tr>
      <w:tr w:rsidR="00AB3DFE" w:rsidRPr="00B001CB" w:rsidTr="00B001CB">
        <w:trPr>
          <w:tblCellSpacing w:w="0" w:type="dxa"/>
        </w:trPr>
        <w:tc>
          <w:tcPr>
            <w:tcW w:w="290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Monthly income above median</w:t>
            </w:r>
          </w:p>
        </w:tc>
        <w:tc>
          <w:tcPr>
            <w:tcW w:w="28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128</w:t>
            </w:r>
          </w:p>
        </w:tc>
        <w:tc>
          <w:tcPr>
            <w:tcW w:w="1092"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40.4</w:t>
            </w:r>
          </w:p>
        </w:tc>
        <w:tc>
          <w:tcPr>
            <w:tcW w:w="7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0.001</w:t>
            </w:r>
          </w:p>
        </w:tc>
      </w:tr>
      <w:tr w:rsidR="00AB3DFE" w:rsidRPr="00B001CB" w:rsidTr="00B001CB">
        <w:trPr>
          <w:tblCellSpacing w:w="0" w:type="dxa"/>
        </w:trPr>
        <w:tc>
          <w:tcPr>
            <w:tcW w:w="2904"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 xml:space="preserve">Family history of </w:t>
            </w:r>
            <w:proofErr w:type="spellStart"/>
            <w:r w:rsidRPr="00B001CB">
              <w:rPr>
                <w:b/>
                <w:color w:val="000000"/>
                <w:sz w:val="16"/>
              </w:rPr>
              <w:t>cardiometabolic</w:t>
            </w:r>
            <w:proofErr w:type="spellEnd"/>
            <w:r w:rsidRPr="00B001CB">
              <w:rPr>
                <w:b/>
                <w:color w:val="000000"/>
                <w:sz w:val="16"/>
              </w:rPr>
              <w:t xml:space="preserve"> disease</w:t>
            </w:r>
          </w:p>
        </w:tc>
        <w:tc>
          <w:tcPr>
            <w:tcW w:w="283"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137</w:t>
            </w:r>
          </w:p>
        </w:tc>
        <w:tc>
          <w:tcPr>
            <w:tcW w:w="1092"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43.2</w:t>
            </w:r>
          </w:p>
        </w:tc>
        <w:tc>
          <w:tcPr>
            <w:tcW w:w="721"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0.037</w:t>
            </w:r>
          </w:p>
        </w:tc>
      </w:tr>
    </w:tbl>
    <w:p w:rsidR="00AB3DFE" w:rsidRPr="00AB3DFE" w:rsidRDefault="00AB3DFE" w:rsidP="00AB3DFE">
      <w:pPr>
        <w:pStyle w:val="Body"/>
      </w:pPr>
      <w:r w:rsidRPr="00AB3DFE">
        <w:t>Regarding comorbidities and lifestyle-related study variables, hypertension was identified in 75.1% of participants, diabetes mellitus in 35.0%, dyslipidemia in 54.9%, metabolic syndrome in 47.0%, and obesity in 36.6%. LDL cholesterol targets were achieved in only 40.1% of patients, whereas only 20.2% attained recommended BMI goals. Adequate physical activity was reported by 34.4% of participants. Sodium restriction adherence was observed in 54.6%, dietary adherence in 47.6%, and adequate fruit and vegetable intake adherence in 30.3%. Average or good disease-related knowledge was documented in 52.4% of participants. Overall lifestyle adherence was low, observed in only 23.7% of the study population (Table 2</w:t>
      </w:r>
      <w:proofErr w:type="gramStart"/>
      <w:r w:rsidRPr="00AB3DFE">
        <w:t>) .</w:t>
      </w:r>
      <w:proofErr w:type="gramEnd"/>
    </w:p>
    <w:p w:rsidR="00AB3DFE" w:rsidRPr="00AB3DFE" w:rsidRDefault="00AB3DFE" w:rsidP="00B001CB">
      <w:pPr>
        <w:pStyle w:val="Caption"/>
      </w:pPr>
      <w:r w:rsidRPr="00AB3DFE">
        <w:t>Table 2. Clinical Comorbidities and Lifestyle Adherence Variables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543"/>
        <w:gridCol w:w="612"/>
        <w:gridCol w:w="704"/>
        <w:gridCol w:w="1168"/>
      </w:tblGrid>
      <w:tr w:rsidR="00AB3DFE" w:rsidRPr="00B001CB" w:rsidTr="00B001CB">
        <w:trPr>
          <w:tblHeader/>
          <w:tblCellSpacing w:w="0" w:type="dxa"/>
        </w:trPr>
        <w:tc>
          <w:tcPr>
            <w:tcW w:w="3624"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Variable</w:t>
            </w:r>
          </w:p>
        </w:tc>
        <w:tc>
          <w:tcPr>
            <w:tcW w:w="339"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n</w:t>
            </w:r>
          </w:p>
        </w:tc>
        <w:tc>
          <w:tcPr>
            <w:tcW w:w="390"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w:t>
            </w:r>
          </w:p>
        </w:tc>
        <w:tc>
          <w:tcPr>
            <w:tcW w:w="647"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p-value</w:t>
            </w:r>
          </w:p>
        </w:tc>
      </w:tr>
      <w:tr w:rsidR="00AB3DFE" w:rsidRPr="00B001CB" w:rsidTr="00B001CB">
        <w:trPr>
          <w:tblCellSpacing w:w="0" w:type="dxa"/>
        </w:trPr>
        <w:tc>
          <w:tcPr>
            <w:tcW w:w="362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Hypertension</w:t>
            </w:r>
          </w:p>
        </w:tc>
        <w:tc>
          <w:tcPr>
            <w:tcW w:w="339"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238</w:t>
            </w:r>
          </w:p>
        </w:tc>
        <w:tc>
          <w:tcPr>
            <w:tcW w:w="39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75.1</w:t>
            </w:r>
          </w:p>
        </w:tc>
        <w:tc>
          <w:tcPr>
            <w:tcW w:w="647"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w:t>
            </w:r>
          </w:p>
        </w:tc>
      </w:tr>
      <w:tr w:rsidR="00AB3DFE" w:rsidRPr="00B001CB" w:rsidTr="00B001CB">
        <w:trPr>
          <w:tblCellSpacing w:w="0" w:type="dxa"/>
        </w:trPr>
        <w:tc>
          <w:tcPr>
            <w:tcW w:w="362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Diabetes mellitus</w:t>
            </w:r>
          </w:p>
        </w:tc>
        <w:tc>
          <w:tcPr>
            <w:tcW w:w="339"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111</w:t>
            </w:r>
          </w:p>
        </w:tc>
        <w:tc>
          <w:tcPr>
            <w:tcW w:w="39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35.0</w:t>
            </w:r>
          </w:p>
        </w:tc>
        <w:tc>
          <w:tcPr>
            <w:tcW w:w="647"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0.021</w:t>
            </w:r>
          </w:p>
        </w:tc>
      </w:tr>
      <w:tr w:rsidR="00AB3DFE" w:rsidRPr="00B001CB" w:rsidTr="00B001CB">
        <w:trPr>
          <w:tblCellSpacing w:w="0" w:type="dxa"/>
        </w:trPr>
        <w:tc>
          <w:tcPr>
            <w:tcW w:w="362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Dyslipidemia</w:t>
            </w:r>
          </w:p>
        </w:tc>
        <w:tc>
          <w:tcPr>
            <w:tcW w:w="339"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174</w:t>
            </w:r>
          </w:p>
        </w:tc>
        <w:tc>
          <w:tcPr>
            <w:tcW w:w="39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54.9</w:t>
            </w:r>
          </w:p>
        </w:tc>
        <w:tc>
          <w:tcPr>
            <w:tcW w:w="647"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0.014</w:t>
            </w:r>
          </w:p>
        </w:tc>
      </w:tr>
      <w:tr w:rsidR="00AB3DFE" w:rsidRPr="00B001CB" w:rsidTr="00B001CB">
        <w:trPr>
          <w:tblCellSpacing w:w="0" w:type="dxa"/>
        </w:trPr>
        <w:tc>
          <w:tcPr>
            <w:tcW w:w="362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Metabolic syndrome</w:t>
            </w:r>
          </w:p>
        </w:tc>
        <w:tc>
          <w:tcPr>
            <w:tcW w:w="339"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149</w:t>
            </w:r>
          </w:p>
        </w:tc>
        <w:tc>
          <w:tcPr>
            <w:tcW w:w="39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47.0</w:t>
            </w:r>
          </w:p>
        </w:tc>
        <w:tc>
          <w:tcPr>
            <w:tcW w:w="647"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0.003</w:t>
            </w:r>
          </w:p>
        </w:tc>
      </w:tr>
      <w:tr w:rsidR="00AB3DFE" w:rsidRPr="00B001CB" w:rsidTr="00B001CB">
        <w:trPr>
          <w:tblCellSpacing w:w="0" w:type="dxa"/>
        </w:trPr>
        <w:tc>
          <w:tcPr>
            <w:tcW w:w="362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Obesity</w:t>
            </w:r>
          </w:p>
        </w:tc>
        <w:tc>
          <w:tcPr>
            <w:tcW w:w="339"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116</w:t>
            </w:r>
          </w:p>
        </w:tc>
        <w:tc>
          <w:tcPr>
            <w:tcW w:w="39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36.6</w:t>
            </w:r>
          </w:p>
        </w:tc>
        <w:tc>
          <w:tcPr>
            <w:tcW w:w="647"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0.011</w:t>
            </w:r>
          </w:p>
        </w:tc>
      </w:tr>
      <w:tr w:rsidR="00AB3DFE" w:rsidRPr="00B001CB" w:rsidTr="00B001CB">
        <w:trPr>
          <w:tblCellSpacing w:w="0" w:type="dxa"/>
        </w:trPr>
        <w:tc>
          <w:tcPr>
            <w:tcW w:w="362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LDL cholesterol at goal</w:t>
            </w:r>
          </w:p>
        </w:tc>
        <w:tc>
          <w:tcPr>
            <w:tcW w:w="339"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127</w:t>
            </w:r>
          </w:p>
        </w:tc>
        <w:tc>
          <w:tcPr>
            <w:tcW w:w="39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40.1</w:t>
            </w:r>
          </w:p>
        </w:tc>
        <w:tc>
          <w:tcPr>
            <w:tcW w:w="647"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0.018</w:t>
            </w:r>
          </w:p>
        </w:tc>
      </w:tr>
      <w:tr w:rsidR="00AB3DFE" w:rsidRPr="00B001CB" w:rsidTr="00B001CB">
        <w:trPr>
          <w:tblCellSpacing w:w="0" w:type="dxa"/>
        </w:trPr>
        <w:tc>
          <w:tcPr>
            <w:tcW w:w="362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BMI at goal</w:t>
            </w:r>
          </w:p>
        </w:tc>
        <w:tc>
          <w:tcPr>
            <w:tcW w:w="339"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64</w:t>
            </w:r>
          </w:p>
        </w:tc>
        <w:tc>
          <w:tcPr>
            <w:tcW w:w="39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20.2</w:t>
            </w:r>
          </w:p>
        </w:tc>
        <w:tc>
          <w:tcPr>
            <w:tcW w:w="647"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&lt;0.001</w:t>
            </w:r>
          </w:p>
        </w:tc>
      </w:tr>
      <w:tr w:rsidR="00AB3DFE" w:rsidRPr="00B001CB" w:rsidTr="00B001CB">
        <w:trPr>
          <w:tblCellSpacing w:w="0" w:type="dxa"/>
        </w:trPr>
        <w:tc>
          <w:tcPr>
            <w:tcW w:w="362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Adequate physical activity</w:t>
            </w:r>
          </w:p>
        </w:tc>
        <w:tc>
          <w:tcPr>
            <w:tcW w:w="339"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109</w:t>
            </w:r>
          </w:p>
        </w:tc>
        <w:tc>
          <w:tcPr>
            <w:tcW w:w="39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34.4</w:t>
            </w:r>
          </w:p>
        </w:tc>
        <w:tc>
          <w:tcPr>
            <w:tcW w:w="647"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0.009</w:t>
            </w:r>
          </w:p>
        </w:tc>
      </w:tr>
      <w:tr w:rsidR="00AB3DFE" w:rsidRPr="00B001CB" w:rsidTr="00B001CB">
        <w:trPr>
          <w:tblCellSpacing w:w="0" w:type="dxa"/>
        </w:trPr>
        <w:tc>
          <w:tcPr>
            <w:tcW w:w="362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Sodium restriction adherence</w:t>
            </w:r>
          </w:p>
        </w:tc>
        <w:tc>
          <w:tcPr>
            <w:tcW w:w="339"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173</w:t>
            </w:r>
          </w:p>
        </w:tc>
        <w:tc>
          <w:tcPr>
            <w:tcW w:w="39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54.6</w:t>
            </w:r>
          </w:p>
        </w:tc>
        <w:tc>
          <w:tcPr>
            <w:tcW w:w="647"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0.033</w:t>
            </w:r>
          </w:p>
        </w:tc>
      </w:tr>
      <w:tr w:rsidR="00AB3DFE" w:rsidRPr="00B001CB" w:rsidTr="00B001CB">
        <w:trPr>
          <w:tblCellSpacing w:w="0" w:type="dxa"/>
        </w:trPr>
        <w:tc>
          <w:tcPr>
            <w:tcW w:w="362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Dietary adherence</w:t>
            </w:r>
          </w:p>
        </w:tc>
        <w:tc>
          <w:tcPr>
            <w:tcW w:w="339"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151</w:t>
            </w:r>
          </w:p>
        </w:tc>
        <w:tc>
          <w:tcPr>
            <w:tcW w:w="39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47.6</w:t>
            </w:r>
          </w:p>
        </w:tc>
        <w:tc>
          <w:tcPr>
            <w:tcW w:w="647"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0.027</w:t>
            </w:r>
          </w:p>
        </w:tc>
      </w:tr>
      <w:tr w:rsidR="00AB3DFE" w:rsidRPr="00B001CB" w:rsidTr="00B001CB">
        <w:trPr>
          <w:tblCellSpacing w:w="0" w:type="dxa"/>
        </w:trPr>
        <w:tc>
          <w:tcPr>
            <w:tcW w:w="362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Fruit/vegetable intake adherence</w:t>
            </w:r>
          </w:p>
        </w:tc>
        <w:tc>
          <w:tcPr>
            <w:tcW w:w="339"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96</w:t>
            </w:r>
          </w:p>
        </w:tc>
        <w:tc>
          <w:tcPr>
            <w:tcW w:w="39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30.3</w:t>
            </w:r>
          </w:p>
        </w:tc>
        <w:tc>
          <w:tcPr>
            <w:tcW w:w="647"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0.006</w:t>
            </w:r>
          </w:p>
        </w:tc>
      </w:tr>
      <w:tr w:rsidR="00AB3DFE" w:rsidRPr="00B001CB" w:rsidTr="00B001CB">
        <w:trPr>
          <w:tblCellSpacing w:w="0" w:type="dxa"/>
        </w:trPr>
        <w:tc>
          <w:tcPr>
            <w:tcW w:w="3624"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Average or good disease-related knowledge</w:t>
            </w:r>
          </w:p>
        </w:tc>
        <w:tc>
          <w:tcPr>
            <w:tcW w:w="339"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166</w:t>
            </w:r>
          </w:p>
        </w:tc>
        <w:tc>
          <w:tcPr>
            <w:tcW w:w="39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52.4</w:t>
            </w:r>
          </w:p>
        </w:tc>
        <w:tc>
          <w:tcPr>
            <w:tcW w:w="647"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0.032</w:t>
            </w:r>
          </w:p>
        </w:tc>
      </w:tr>
      <w:tr w:rsidR="00AB3DFE" w:rsidRPr="00B001CB" w:rsidTr="00B001CB">
        <w:trPr>
          <w:tblCellSpacing w:w="0" w:type="dxa"/>
        </w:trPr>
        <w:tc>
          <w:tcPr>
            <w:tcW w:w="3624"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Overall lifestyle adherence</w:t>
            </w:r>
          </w:p>
        </w:tc>
        <w:tc>
          <w:tcPr>
            <w:tcW w:w="339"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75</w:t>
            </w:r>
          </w:p>
        </w:tc>
        <w:tc>
          <w:tcPr>
            <w:tcW w:w="390"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23.7</w:t>
            </w:r>
          </w:p>
        </w:tc>
        <w:tc>
          <w:tcPr>
            <w:tcW w:w="647"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&lt;0.001</w:t>
            </w:r>
          </w:p>
        </w:tc>
      </w:tr>
    </w:tbl>
    <w:p w:rsidR="00AB3DFE" w:rsidRPr="00AB3DFE" w:rsidRDefault="00AB3DFE" w:rsidP="00AB3DFE">
      <w:pPr>
        <w:pStyle w:val="Body"/>
      </w:pPr>
      <w:r w:rsidRPr="00AB3DFE">
        <w:t xml:space="preserve">Clinical outcome assessment demonstrated that only 23.7% of participants achieved good overall clinical outcomes, while 76.3% had poor outcomes. The mean adherence score was 27.4 ± 18.6%. Failure to achieve recommended </w:t>
      </w:r>
      <w:proofErr w:type="spellStart"/>
      <w:r w:rsidRPr="00AB3DFE">
        <w:t>cardiometabolic</w:t>
      </w:r>
      <w:proofErr w:type="spellEnd"/>
      <w:r w:rsidRPr="00AB3DFE">
        <w:t xml:space="preserve"> targets was highly prevalent, including LDL cholesterol not at goal in 59.9%, BMI not at goal in 79.8%, and waist circumference not at goal in 70.0% of participants. Inadequate physical activity was reported in 65.6%, while non-adherence to dietary recommendations and sodium restriction was observed in 52.4% and 45.4% of participants, respectively (Table 3</w:t>
      </w:r>
      <w:proofErr w:type="gramStart"/>
      <w:r w:rsidRPr="00AB3DFE">
        <w:t>) .</w:t>
      </w:r>
      <w:proofErr w:type="gramEnd"/>
    </w:p>
    <w:p w:rsidR="00AB3DFE" w:rsidRPr="00AB3DFE" w:rsidRDefault="00AB3DFE" w:rsidP="00B001CB">
      <w:pPr>
        <w:pStyle w:val="Caption"/>
      </w:pPr>
      <w:r w:rsidRPr="00AB3DFE">
        <w:t>Table 3. Clinical Outcomes and Adherence Indicators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337"/>
        <w:gridCol w:w="498"/>
        <w:gridCol w:w="1923"/>
        <w:gridCol w:w="1269"/>
      </w:tblGrid>
      <w:tr w:rsidR="00AB3DFE" w:rsidRPr="00B001CB" w:rsidTr="00B001CB">
        <w:trPr>
          <w:tblHeader/>
          <w:tblCellSpacing w:w="0" w:type="dxa"/>
        </w:trPr>
        <w:tc>
          <w:tcPr>
            <w:tcW w:w="2956"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Outcome Variable</w:t>
            </w:r>
          </w:p>
        </w:tc>
        <w:tc>
          <w:tcPr>
            <w:tcW w:w="276"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n</w:t>
            </w:r>
          </w:p>
        </w:tc>
        <w:tc>
          <w:tcPr>
            <w:tcW w:w="1065"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 / Mean ± SD</w:t>
            </w:r>
          </w:p>
        </w:tc>
        <w:tc>
          <w:tcPr>
            <w:tcW w:w="703"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p-value</w:t>
            </w:r>
          </w:p>
        </w:tc>
      </w:tr>
      <w:tr w:rsidR="00AB3DFE" w:rsidRPr="00B001CB" w:rsidTr="00B001CB">
        <w:trPr>
          <w:tblCellSpacing w:w="0" w:type="dxa"/>
        </w:trPr>
        <w:tc>
          <w:tcPr>
            <w:tcW w:w="2956"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Good overall clinical outcome</w:t>
            </w:r>
          </w:p>
        </w:tc>
        <w:tc>
          <w:tcPr>
            <w:tcW w:w="276"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75</w:t>
            </w:r>
          </w:p>
        </w:tc>
        <w:tc>
          <w:tcPr>
            <w:tcW w:w="1065"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23.7</w:t>
            </w:r>
          </w:p>
        </w:tc>
        <w:tc>
          <w:tcPr>
            <w:tcW w:w="70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Reference</w:t>
            </w:r>
          </w:p>
        </w:tc>
      </w:tr>
      <w:tr w:rsidR="00AB3DFE" w:rsidRPr="00B001CB" w:rsidTr="00B001CB">
        <w:trPr>
          <w:tblCellSpacing w:w="0" w:type="dxa"/>
        </w:trPr>
        <w:tc>
          <w:tcPr>
            <w:tcW w:w="2956"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Poor overall clinical outcome</w:t>
            </w:r>
          </w:p>
        </w:tc>
        <w:tc>
          <w:tcPr>
            <w:tcW w:w="276"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242</w:t>
            </w:r>
          </w:p>
        </w:tc>
        <w:tc>
          <w:tcPr>
            <w:tcW w:w="1065"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76.3</w:t>
            </w:r>
          </w:p>
        </w:tc>
        <w:tc>
          <w:tcPr>
            <w:tcW w:w="70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&lt;0.001</w:t>
            </w:r>
          </w:p>
        </w:tc>
      </w:tr>
      <w:tr w:rsidR="00AB3DFE" w:rsidRPr="00B001CB" w:rsidTr="00B001CB">
        <w:trPr>
          <w:tblCellSpacing w:w="0" w:type="dxa"/>
        </w:trPr>
        <w:tc>
          <w:tcPr>
            <w:tcW w:w="2956"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lastRenderedPageBreak/>
              <w:t>Mean adherence score, %</w:t>
            </w:r>
          </w:p>
        </w:tc>
        <w:tc>
          <w:tcPr>
            <w:tcW w:w="276"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317</w:t>
            </w:r>
          </w:p>
        </w:tc>
        <w:tc>
          <w:tcPr>
            <w:tcW w:w="1065"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27.4 ± 18.6</w:t>
            </w:r>
          </w:p>
        </w:tc>
        <w:tc>
          <w:tcPr>
            <w:tcW w:w="70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w:t>
            </w:r>
          </w:p>
        </w:tc>
      </w:tr>
      <w:tr w:rsidR="00AB3DFE" w:rsidRPr="00B001CB" w:rsidTr="00B001CB">
        <w:trPr>
          <w:tblCellSpacing w:w="0" w:type="dxa"/>
        </w:trPr>
        <w:tc>
          <w:tcPr>
            <w:tcW w:w="2956"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LDL cholesterol not at goal</w:t>
            </w:r>
          </w:p>
        </w:tc>
        <w:tc>
          <w:tcPr>
            <w:tcW w:w="276"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190</w:t>
            </w:r>
          </w:p>
        </w:tc>
        <w:tc>
          <w:tcPr>
            <w:tcW w:w="1065"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59.9</w:t>
            </w:r>
          </w:p>
        </w:tc>
        <w:tc>
          <w:tcPr>
            <w:tcW w:w="70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0.018</w:t>
            </w:r>
          </w:p>
        </w:tc>
      </w:tr>
      <w:tr w:rsidR="00AB3DFE" w:rsidRPr="00B001CB" w:rsidTr="00B001CB">
        <w:trPr>
          <w:tblCellSpacing w:w="0" w:type="dxa"/>
        </w:trPr>
        <w:tc>
          <w:tcPr>
            <w:tcW w:w="2956"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BMI not at goal</w:t>
            </w:r>
          </w:p>
        </w:tc>
        <w:tc>
          <w:tcPr>
            <w:tcW w:w="276"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253</w:t>
            </w:r>
          </w:p>
        </w:tc>
        <w:tc>
          <w:tcPr>
            <w:tcW w:w="1065"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79.8</w:t>
            </w:r>
          </w:p>
        </w:tc>
        <w:tc>
          <w:tcPr>
            <w:tcW w:w="70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&lt;0.001</w:t>
            </w:r>
          </w:p>
        </w:tc>
      </w:tr>
      <w:tr w:rsidR="00AB3DFE" w:rsidRPr="00B001CB" w:rsidTr="00B001CB">
        <w:trPr>
          <w:tblCellSpacing w:w="0" w:type="dxa"/>
        </w:trPr>
        <w:tc>
          <w:tcPr>
            <w:tcW w:w="2956"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Waist circumference not at goal</w:t>
            </w:r>
          </w:p>
        </w:tc>
        <w:tc>
          <w:tcPr>
            <w:tcW w:w="276"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222</w:t>
            </w:r>
          </w:p>
        </w:tc>
        <w:tc>
          <w:tcPr>
            <w:tcW w:w="1065"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70.0</w:t>
            </w:r>
          </w:p>
        </w:tc>
        <w:tc>
          <w:tcPr>
            <w:tcW w:w="70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&lt;0.001</w:t>
            </w:r>
          </w:p>
        </w:tc>
      </w:tr>
      <w:tr w:rsidR="00AB3DFE" w:rsidRPr="00B001CB" w:rsidTr="00B001CB">
        <w:trPr>
          <w:tblCellSpacing w:w="0" w:type="dxa"/>
        </w:trPr>
        <w:tc>
          <w:tcPr>
            <w:tcW w:w="2956"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Inadequate physical activity</w:t>
            </w:r>
          </w:p>
        </w:tc>
        <w:tc>
          <w:tcPr>
            <w:tcW w:w="276"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208</w:t>
            </w:r>
          </w:p>
        </w:tc>
        <w:tc>
          <w:tcPr>
            <w:tcW w:w="1065"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65.6</w:t>
            </w:r>
          </w:p>
        </w:tc>
        <w:tc>
          <w:tcPr>
            <w:tcW w:w="70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0.009</w:t>
            </w:r>
          </w:p>
        </w:tc>
      </w:tr>
      <w:tr w:rsidR="00AB3DFE" w:rsidRPr="00B001CB" w:rsidTr="00B001CB">
        <w:trPr>
          <w:tblCellSpacing w:w="0" w:type="dxa"/>
        </w:trPr>
        <w:tc>
          <w:tcPr>
            <w:tcW w:w="2956"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Non-adherence to dietary recommendations</w:t>
            </w:r>
          </w:p>
        </w:tc>
        <w:tc>
          <w:tcPr>
            <w:tcW w:w="276"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166</w:t>
            </w:r>
          </w:p>
        </w:tc>
        <w:tc>
          <w:tcPr>
            <w:tcW w:w="1065"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52.4</w:t>
            </w:r>
          </w:p>
        </w:tc>
        <w:tc>
          <w:tcPr>
            <w:tcW w:w="703"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0.027</w:t>
            </w:r>
          </w:p>
        </w:tc>
      </w:tr>
      <w:tr w:rsidR="00AB3DFE" w:rsidRPr="00B001CB" w:rsidTr="00B001CB">
        <w:trPr>
          <w:tblCellSpacing w:w="0" w:type="dxa"/>
        </w:trPr>
        <w:tc>
          <w:tcPr>
            <w:tcW w:w="2956"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Non-adherence to sodium restriction</w:t>
            </w:r>
          </w:p>
        </w:tc>
        <w:tc>
          <w:tcPr>
            <w:tcW w:w="276"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144</w:t>
            </w:r>
          </w:p>
        </w:tc>
        <w:tc>
          <w:tcPr>
            <w:tcW w:w="1065"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45.4</w:t>
            </w:r>
          </w:p>
        </w:tc>
        <w:tc>
          <w:tcPr>
            <w:tcW w:w="703"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0.033</w:t>
            </w:r>
          </w:p>
        </w:tc>
      </w:tr>
    </w:tbl>
    <w:p w:rsidR="00AB3DFE" w:rsidRPr="00AB3DFE" w:rsidRDefault="00AB3DFE" w:rsidP="00AB3DFE">
      <w:pPr>
        <w:pStyle w:val="Body"/>
      </w:pPr>
      <w:r w:rsidRPr="00AB3DFE">
        <w:t xml:space="preserve">Multivariable logistic regression analysis identified several independent predictors of poor clinical outcome. Participants aged ≥65 years had significantly higher odds of poor outcome compared with younger participants (AOR 1.72; 95% CI: 1.04–2.86; p=0.034). Secondary or higher education was independently protective against poor clinical outcome (AOR 0.46; 95% CI: 0.27–0.79; p=0.005), while income above the median level was also associated with lower odds of poor outcome (AOR 0.39; 95% CI: 0.22–0.68; p=0.001). Diabetes mellitus (AOR 1.89; 95% CI: 1.10–3.24; p=0.021), metabolic syndrome (AOR 2.14; 95% CI: 1.29–3.55; p=0.003), poor disease-related knowledge (AOR 1.76; 95% CI: 1.05–2.94; p=0.032), and family history of </w:t>
      </w:r>
      <w:proofErr w:type="spellStart"/>
      <w:r w:rsidRPr="00AB3DFE">
        <w:t>cardiometabolic</w:t>
      </w:r>
      <w:proofErr w:type="spellEnd"/>
      <w:r w:rsidRPr="00AB3DFE">
        <w:t xml:space="preserve"> disease (AOR 1.61; 95% CI: 1.03–2.52; p=0.037) were significant predictors of poor clinical outcomes. Female sex did not demonstrate a statistically significant association with poor clinical outcome (AOR 1.28; 95% CI: 0.77–2.13; p=0.341) (Table 4</w:t>
      </w:r>
      <w:proofErr w:type="gramStart"/>
      <w:r w:rsidRPr="00AB3DFE">
        <w:t>) .</w:t>
      </w:r>
      <w:proofErr w:type="gramEnd"/>
    </w:p>
    <w:p w:rsidR="00AB3DFE" w:rsidRPr="00AB3DFE" w:rsidRDefault="00AB3DFE" w:rsidP="00B001CB">
      <w:pPr>
        <w:pStyle w:val="Caption"/>
      </w:pPr>
      <w:r w:rsidRPr="00AB3DFE">
        <w:t>Table 4. Multivariable Logistic Regression Analysis of Predictors of Poor Clinical Outcome</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081"/>
        <w:gridCol w:w="397"/>
        <w:gridCol w:w="2789"/>
        <w:gridCol w:w="1000"/>
        <w:gridCol w:w="760"/>
      </w:tblGrid>
      <w:tr w:rsidR="00AB3DFE" w:rsidRPr="00B001CB" w:rsidTr="00B001CB">
        <w:trPr>
          <w:tblHeader/>
          <w:tblCellSpacing w:w="0" w:type="dxa"/>
        </w:trPr>
        <w:tc>
          <w:tcPr>
            <w:tcW w:w="2260"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Predictor</w:t>
            </w:r>
          </w:p>
        </w:tc>
        <w:tc>
          <w:tcPr>
            <w:tcW w:w="220"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n</w:t>
            </w:r>
          </w:p>
        </w:tc>
        <w:tc>
          <w:tcPr>
            <w:tcW w:w="1545"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Adjusted Odds Ratio (AOR)</w:t>
            </w:r>
          </w:p>
        </w:tc>
        <w:tc>
          <w:tcPr>
            <w:tcW w:w="554"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95% CI</w:t>
            </w:r>
          </w:p>
        </w:tc>
        <w:tc>
          <w:tcPr>
            <w:tcW w:w="421" w:type="pct"/>
            <w:tcBorders>
              <w:top w:val="single" w:sz="4" w:space="0" w:color="auto"/>
              <w:bottom w:val="single" w:sz="4" w:space="0" w:color="000000"/>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p-value</w:t>
            </w:r>
          </w:p>
        </w:tc>
      </w:tr>
      <w:tr w:rsidR="00AB3DFE" w:rsidRPr="00B001CB" w:rsidTr="00B001CB">
        <w:trPr>
          <w:tblCellSpacing w:w="0" w:type="dxa"/>
        </w:trPr>
        <w:tc>
          <w:tcPr>
            <w:tcW w:w="2260"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Age ≥65 years</w:t>
            </w:r>
          </w:p>
        </w:tc>
        <w:tc>
          <w:tcPr>
            <w:tcW w:w="22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171</w:t>
            </w:r>
          </w:p>
        </w:tc>
        <w:tc>
          <w:tcPr>
            <w:tcW w:w="1545"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1.72</w:t>
            </w:r>
          </w:p>
        </w:tc>
        <w:tc>
          <w:tcPr>
            <w:tcW w:w="554"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1.04–2.86</w:t>
            </w:r>
          </w:p>
        </w:tc>
        <w:tc>
          <w:tcPr>
            <w:tcW w:w="4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0.034</w:t>
            </w:r>
          </w:p>
        </w:tc>
      </w:tr>
      <w:tr w:rsidR="00AB3DFE" w:rsidRPr="00B001CB" w:rsidTr="00B001CB">
        <w:trPr>
          <w:tblCellSpacing w:w="0" w:type="dxa"/>
        </w:trPr>
        <w:tc>
          <w:tcPr>
            <w:tcW w:w="2260"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Female sex</w:t>
            </w:r>
          </w:p>
        </w:tc>
        <w:tc>
          <w:tcPr>
            <w:tcW w:w="22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211</w:t>
            </w:r>
          </w:p>
        </w:tc>
        <w:tc>
          <w:tcPr>
            <w:tcW w:w="1545"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1.28</w:t>
            </w:r>
          </w:p>
        </w:tc>
        <w:tc>
          <w:tcPr>
            <w:tcW w:w="554"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0.77–2.13</w:t>
            </w:r>
          </w:p>
        </w:tc>
        <w:tc>
          <w:tcPr>
            <w:tcW w:w="4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0.341</w:t>
            </w:r>
          </w:p>
        </w:tc>
      </w:tr>
      <w:tr w:rsidR="00AB3DFE" w:rsidRPr="00B001CB" w:rsidTr="00B001CB">
        <w:trPr>
          <w:tblCellSpacing w:w="0" w:type="dxa"/>
        </w:trPr>
        <w:tc>
          <w:tcPr>
            <w:tcW w:w="2260"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Secondary or higher education</w:t>
            </w:r>
          </w:p>
        </w:tc>
        <w:tc>
          <w:tcPr>
            <w:tcW w:w="22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142</w:t>
            </w:r>
          </w:p>
        </w:tc>
        <w:tc>
          <w:tcPr>
            <w:tcW w:w="1545"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0.46</w:t>
            </w:r>
          </w:p>
        </w:tc>
        <w:tc>
          <w:tcPr>
            <w:tcW w:w="554"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0.27–0.79</w:t>
            </w:r>
          </w:p>
        </w:tc>
        <w:tc>
          <w:tcPr>
            <w:tcW w:w="4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0.005</w:t>
            </w:r>
          </w:p>
        </w:tc>
      </w:tr>
      <w:tr w:rsidR="00AB3DFE" w:rsidRPr="00B001CB" w:rsidTr="00B001CB">
        <w:trPr>
          <w:tblCellSpacing w:w="0" w:type="dxa"/>
        </w:trPr>
        <w:tc>
          <w:tcPr>
            <w:tcW w:w="2260"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Income above median</w:t>
            </w:r>
          </w:p>
        </w:tc>
        <w:tc>
          <w:tcPr>
            <w:tcW w:w="22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128</w:t>
            </w:r>
          </w:p>
        </w:tc>
        <w:tc>
          <w:tcPr>
            <w:tcW w:w="1545"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0.39</w:t>
            </w:r>
          </w:p>
        </w:tc>
        <w:tc>
          <w:tcPr>
            <w:tcW w:w="554"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0.22–0.68</w:t>
            </w:r>
          </w:p>
        </w:tc>
        <w:tc>
          <w:tcPr>
            <w:tcW w:w="4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0.001</w:t>
            </w:r>
          </w:p>
        </w:tc>
      </w:tr>
      <w:tr w:rsidR="00AB3DFE" w:rsidRPr="00B001CB" w:rsidTr="00B001CB">
        <w:trPr>
          <w:tblCellSpacing w:w="0" w:type="dxa"/>
        </w:trPr>
        <w:tc>
          <w:tcPr>
            <w:tcW w:w="2260"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Diabetes mellitus</w:t>
            </w:r>
          </w:p>
        </w:tc>
        <w:tc>
          <w:tcPr>
            <w:tcW w:w="22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111</w:t>
            </w:r>
          </w:p>
        </w:tc>
        <w:tc>
          <w:tcPr>
            <w:tcW w:w="1545"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1.89</w:t>
            </w:r>
          </w:p>
        </w:tc>
        <w:tc>
          <w:tcPr>
            <w:tcW w:w="554"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1.10–3.24</w:t>
            </w:r>
          </w:p>
        </w:tc>
        <w:tc>
          <w:tcPr>
            <w:tcW w:w="4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0.021</w:t>
            </w:r>
          </w:p>
        </w:tc>
      </w:tr>
      <w:tr w:rsidR="00AB3DFE" w:rsidRPr="00B001CB" w:rsidTr="00B001CB">
        <w:trPr>
          <w:tblCellSpacing w:w="0" w:type="dxa"/>
        </w:trPr>
        <w:tc>
          <w:tcPr>
            <w:tcW w:w="2260"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Metabolic syndrome</w:t>
            </w:r>
          </w:p>
        </w:tc>
        <w:tc>
          <w:tcPr>
            <w:tcW w:w="22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149</w:t>
            </w:r>
          </w:p>
        </w:tc>
        <w:tc>
          <w:tcPr>
            <w:tcW w:w="1545"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2.14</w:t>
            </w:r>
          </w:p>
        </w:tc>
        <w:tc>
          <w:tcPr>
            <w:tcW w:w="554"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1.29–3.55</w:t>
            </w:r>
          </w:p>
        </w:tc>
        <w:tc>
          <w:tcPr>
            <w:tcW w:w="4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0.003</w:t>
            </w:r>
          </w:p>
        </w:tc>
      </w:tr>
      <w:tr w:rsidR="00AB3DFE" w:rsidRPr="00B001CB" w:rsidTr="00B001CB">
        <w:trPr>
          <w:tblCellSpacing w:w="0" w:type="dxa"/>
        </w:trPr>
        <w:tc>
          <w:tcPr>
            <w:tcW w:w="2260" w:type="pct"/>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Poor disease-related knowledge</w:t>
            </w:r>
          </w:p>
        </w:tc>
        <w:tc>
          <w:tcPr>
            <w:tcW w:w="220"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151</w:t>
            </w:r>
          </w:p>
        </w:tc>
        <w:tc>
          <w:tcPr>
            <w:tcW w:w="1545"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1.76</w:t>
            </w:r>
          </w:p>
        </w:tc>
        <w:tc>
          <w:tcPr>
            <w:tcW w:w="554"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1.05–2.94</w:t>
            </w:r>
          </w:p>
        </w:tc>
        <w:tc>
          <w:tcPr>
            <w:tcW w:w="421" w:type="pct"/>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0.032</w:t>
            </w:r>
          </w:p>
        </w:tc>
      </w:tr>
      <w:tr w:rsidR="00AB3DFE" w:rsidRPr="00B001CB" w:rsidTr="00B001CB">
        <w:trPr>
          <w:tblCellSpacing w:w="0" w:type="dxa"/>
        </w:trPr>
        <w:tc>
          <w:tcPr>
            <w:tcW w:w="2260"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b/>
                <w:color w:val="000000"/>
                <w:sz w:val="16"/>
              </w:rPr>
            </w:pPr>
            <w:r w:rsidRPr="00B001CB">
              <w:rPr>
                <w:b/>
                <w:color w:val="000000"/>
                <w:sz w:val="16"/>
              </w:rPr>
              <w:t xml:space="preserve">Family history of </w:t>
            </w:r>
            <w:proofErr w:type="spellStart"/>
            <w:r w:rsidRPr="00B001CB">
              <w:rPr>
                <w:b/>
                <w:color w:val="000000"/>
                <w:sz w:val="16"/>
              </w:rPr>
              <w:t>cardiometabolic</w:t>
            </w:r>
            <w:proofErr w:type="spellEnd"/>
            <w:r w:rsidRPr="00B001CB">
              <w:rPr>
                <w:b/>
                <w:color w:val="000000"/>
                <w:sz w:val="16"/>
              </w:rPr>
              <w:t xml:space="preserve"> disease</w:t>
            </w:r>
          </w:p>
        </w:tc>
        <w:tc>
          <w:tcPr>
            <w:tcW w:w="220"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137</w:t>
            </w:r>
          </w:p>
        </w:tc>
        <w:tc>
          <w:tcPr>
            <w:tcW w:w="1545"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1.61</w:t>
            </w:r>
          </w:p>
        </w:tc>
        <w:tc>
          <w:tcPr>
            <w:tcW w:w="554"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1.03–2.52</w:t>
            </w:r>
          </w:p>
        </w:tc>
        <w:tc>
          <w:tcPr>
            <w:tcW w:w="421" w:type="pct"/>
            <w:tcBorders>
              <w:bottom w:val="single" w:sz="4" w:space="0" w:color="auto"/>
            </w:tcBorders>
            <w:shd w:val="clear" w:color="auto" w:fill="auto"/>
            <w:hideMark/>
          </w:tcPr>
          <w:p w:rsidR="00AB3DFE" w:rsidRPr="00B001CB" w:rsidRDefault="00AB3DFE" w:rsidP="00B001CB">
            <w:pPr>
              <w:pStyle w:val="Body"/>
              <w:spacing w:after="0" w:line="240" w:lineRule="auto"/>
              <w:jc w:val="left"/>
              <w:rPr>
                <w:color w:val="000000"/>
                <w:sz w:val="16"/>
              </w:rPr>
            </w:pPr>
            <w:r w:rsidRPr="00B001CB">
              <w:rPr>
                <w:color w:val="000000"/>
                <w:sz w:val="16"/>
              </w:rPr>
              <w:t>0.037</w:t>
            </w:r>
          </w:p>
        </w:tc>
      </w:tr>
    </w:tbl>
    <w:p w:rsidR="00AB3DFE" w:rsidRPr="00AB3DFE" w:rsidRDefault="00AB3DFE" w:rsidP="00AB3DFE">
      <w:pPr>
        <w:pStyle w:val="Body"/>
      </w:pPr>
      <w:r w:rsidRPr="00AB3DFE">
        <w:t xml:space="preserve">The baseline demographic and clinical assessment demonstrated that the study population was predominantly older and female, with a mean age of 64.8 ± 13.9 years and females accounting for 66.6% of participants. The overall </w:t>
      </w:r>
      <w:proofErr w:type="spellStart"/>
      <w:r w:rsidRPr="00AB3DFE">
        <w:t>cardiometabolic</w:t>
      </w:r>
      <w:proofErr w:type="spellEnd"/>
      <w:r w:rsidRPr="00AB3DFE">
        <w:t xml:space="preserve"> profile reflected substantial disease burden, as the mean body mass index reached 28.7 ± 5.4 kg/m² and 70.0% of participants had waist circumference measurements above recommended thresholds, indicating a high prevalence of central obesity. Nearly one-fifth of participants were current smokers (19.9%), whereas most reported abstinence from alcohol consumption (86.1%). Educational and socioeconomic indicators showed that only 44.8% attained secondary or higher education and 40.4% reported monthly income above the median level. Furthermore, family history of </w:t>
      </w:r>
      <w:proofErr w:type="spellStart"/>
      <w:r w:rsidRPr="00AB3DFE">
        <w:t>cardiometabolic</w:t>
      </w:r>
      <w:proofErr w:type="spellEnd"/>
      <w:r w:rsidRPr="00AB3DFE">
        <w:t xml:space="preserve"> disease was present in 43.2% of the cohort, suggesting substantial inherited cardiovascular risk burden (Table 1</w:t>
      </w:r>
      <w:proofErr w:type="gramStart"/>
      <w:r w:rsidRPr="00AB3DFE">
        <w:t>) .</w:t>
      </w:r>
      <w:proofErr w:type="gramEnd"/>
    </w:p>
    <w:p w:rsidR="00AB3DFE" w:rsidRPr="00AB3DFE" w:rsidRDefault="00AB3DFE" w:rsidP="00AB3DFE">
      <w:pPr>
        <w:pStyle w:val="Body"/>
      </w:pPr>
      <w:r w:rsidRPr="00AB3DFE">
        <w:t xml:space="preserve">Analysis of clinical comorbidities and lifestyle-related variables revealed considerable coexistence of </w:t>
      </w:r>
      <w:proofErr w:type="spellStart"/>
      <w:r w:rsidRPr="00AB3DFE">
        <w:t>cardiometabolic</w:t>
      </w:r>
      <w:proofErr w:type="spellEnd"/>
      <w:r w:rsidRPr="00AB3DFE">
        <w:t xml:space="preserve"> disorders. Hypertension was identified in 75.1% of participants, while diabetes mellitus and dyslipidemia were observed in 35.0% and 54.9%, respectively. Metabolic syndrome affected nearly half of the population (47.0%), and obesity was documented in 36.6%. Achievement of recommended therapeutic and behavioral targets was generally poor. Only 40.1% achieved LDL cholesterol goals, and merely 20.2% maintained body mass index within recommended limits. Lifestyle adherence indicators also demonstrated inadequate behavioral control, with only 34.4% engaging in adequate physical activity and 30.3% meeting recommended fruit and vegetable intake targets. Sodium restriction adherence and general dietary adherence were observed in 54.6% and 47.6% of participants, respectively. Although 52.4% demonstrated average or good disease-related knowledge, overall lifestyle adherence remained markedly low at only 23.7%, emphasizing a substantial gap between disease awareness and practical implementation of healthy behaviors (Table 2</w:t>
      </w:r>
      <w:proofErr w:type="gramStart"/>
      <w:r w:rsidRPr="00AB3DFE">
        <w:t>) .</w:t>
      </w:r>
      <w:proofErr w:type="gramEnd"/>
    </w:p>
    <w:p w:rsidR="00AB3DFE" w:rsidRPr="00AB3DFE" w:rsidRDefault="00AB3DFE" w:rsidP="00AB3DFE">
      <w:pPr>
        <w:pStyle w:val="Body"/>
      </w:pPr>
      <w:r w:rsidRPr="00AB3DFE">
        <w:t xml:space="preserve">Clinical outcome evaluation further demonstrated widespread inadequate disease control within the study population. Good overall clinical outcomes were achieved by only 23.7% of participants, whereas 76.3% experienced poor overall clinical outcomes. The mean adherence score was 27.4 ± 18.6%, reflecting generally low compliance with recommended lifestyle and risk-reduction measures. Failure to attain </w:t>
      </w:r>
      <w:proofErr w:type="spellStart"/>
      <w:r w:rsidRPr="00AB3DFE">
        <w:t>cardiometabolic</w:t>
      </w:r>
      <w:proofErr w:type="spellEnd"/>
      <w:r w:rsidRPr="00AB3DFE">
        <w:t xml:space="preserve"> control targets was highly prevalent, as 59.9% did not achieve LDL cholesterol goals, 79.8% failed to attain target body mass index values, and 70.0% exceeded recommended waist circumference thresholds. Behavioral non-adherence remained common, with inadequate physical activity affecting 65.6% of participants, non-adherence to dietary recommendations present in 52.4%, and failure to comply with sodium restriction documented in 45.4% </w:t>
      </w:r>
      <w:r w:rsidRPr="00AB3DFE">
        <w:lastRenderedPageBreak/>
        <w:t xml:space="preserve">of the cohort. Collectively, these findings indicate persistent deficiencies in both metabolic control and adherence-related behaviors among hypertensive patients attending </w:t>
      </w:r>
      <w:proofErr w:type="spellStart"/>
      <w:r w:rsidRPr="00AB3DFE">
        <w:t>Riphah</w:t>
      </w:r>
      <w:proofErr w:type="spellEnd"/>
      <w:r w:rsidRPr="00AB3DFE">
        <w:t xml:space="preserve"> </w:t>
      </w:r>
      <w:proofErr w:type="spellStart"/>
      <w:r w:rsidRPr="00AB3DFE">
        <w:t>Rehablitation</w:t>
      </w:r>
      <w:proofErr w:type="spellEnd"/>
      <w:r w:rsidRPr="00AB3DFE">
        <w:t xml:space="preserve"> Center (Table 3</w:t>
      </w:r>
      <w:proofErr w:type="gramStart"/>
      <w:r w:rsidRPr="00AB3DFE">
        <w:t>) .</w:t>
      </w:r>
      <w:proofErr w:type="gramEnd"/>
    </w:p>
    <w:p w:rsidR="00AB3DFE" w:rsidRPr="00AB3DFE" w:rsidRDefault="00AB3DFE" w:rsidP="00AB3DFE">
      <w:pPr>
        <w:pStyle w:val="Body"/>
      </w:pPr>
      <w:r w:rsidRPr="00AB3DFE">
        <w:t xml:space="preserve">Multivariable logistic regression analysis identified several statistically significant predictors of poor clinical outcome. Participants aged 65 years or older demonstrated 72% higher odds of poor clinical outcome compared with younger participants (AOR 1.72; 95% CI: 1.04–2.86; p=0.034). Educational attainment showed a protective effect, as individuals with secondary or higher education had 54% lower odds of poor outcome (AOR 0.46; 95% CI: 0.27–0.79; p=0.005). Similarly, income above the median level reduced the likelihood of poor clinical outcome by approximately 61% (AOR 0.39; 95% CI: 0.22–0.68; p=0.001). Among clinical variables, diabetes mellitus nearly doubled the odds of poor outcome (AOR 1.89; 95% CI: 1.10–3.24; p=0.021), while metabolic syndrome emerged as the strongest predictor, increasing the odds more than twofold (AOR 2.14; 95% CI: 1.29–3.55; p=0.003). Poor disease-related knowledge was also independently associated with unfavorable outcomes (AOR 1.76; 95% CI: 1.05–2.94; p=0.032). In addition, participants with a family history of </w:t>
      </w:r>
      <w:proofErr w:type="spellStart"/>
      <w:r w:rsidRPr="00AB3DFE">
        <w:t>cardiometabolic</w:t>
      </w:r>
      <w:proofErr w:type="spellEnd"/>
      <w:r w:rsidRPr="00AB3DFE">
        <w:t xml:space="preserve"> disease had significantly increased odds of poor clinical outcome (AOR 1.61; 95% CI: 1.03–2.52; p=0.037). Female sex did not demonstrate a statistically significant association with poor clinical outcome (p=0.341), indicating that outcome disparities were more strongly influenced by educational, metabolic, and behavioral factors than by sex alone (Table 4) </w:t>
      </w:r>
    </w:p>
    <w:p w:rsidR="00AB3DFE" w:rsidRPr="00AB3DFE" w:rsidRDefault="00374360" w:rsidP="00374360">
      <w:pPr>
        <w:pStyle w:val="Body"/>
        <w:jc w:val="center"/>
      </w:pPr>
      <w:r>
        <w:rPr>
          <w:noProof/>
        </w:rPr>
        <w:drawing>
          <wp:inline distT="0" distB="0" distL="0" distR="0">
            <wp:extent cx="4572000" cy="274056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Jun 4, 2026, 03_16_00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740566"/>
                    </a:xfrm>
                    <a:prstGeom prst="rect">
                      <a:avLst/>
                    </a:prstGeom>
                  </pic:spPr>
                </pic:pic>
              </a:graphicData>
            </a:graphic>
          </wp:inline>
        </w:drawing>
      </w:r>
    </w:p>
    <w:p w:rsidR="00AB3DFE" w:rsidRPr="00AB3DFE" w:rsidRDefault="00AB3DFE" w:rsidP="00AB3DFE">
      <w:pPr>
        <w:pStyle w:val="Body"/>
      </w:pPr>
      <w:r w:rsidRPr="00AB3DFE">
        <w:br w:type="page"/>
      </w:r>
    </w:p>
    <w:p w:rsidR="00AB3DFE" w:rsidRPr="00AB3DFE" w:rsidRDefault="00AB3DFE" w:rsidP="00B001CB">
      <w:pPr>
        <w:pStyle w:val="Caption"/>
      </w:pPr>
      <w:r w:rsidRPr="00AB3DFE">
        <w:lastRenderedPageBreak/>
        <w:t xml:space="preserve">Figure 1. Independent Predictors of Poor Clinical Outcome </w:t>
      </w:r>
      <w:proofErr w:type="gramStart"/>
      <w:r w:rsidRPr="00AB3DFE">
        <w:t>Among</w:t>
      </w:r>
      <w:proofErr w:type="gramEnd"/>
      <w:r w:rsidRPr="00AB3DFE">
        <w:t xml:space="preserve"> Hypertensive Patients at </w:t>
      </w:r>
      <w:proofErr w:type="spellStart"/>
      <w:r w:rsidRPr="00AB3DFE">
        <w:t>Riphah</w:t>
      </w:r>
      <w:proofErr w:type="spellEnd"/>
      <w:r w:rsidRPr="00AB3DFE">
        <w:t xml:space="preserve"> </w:t>
      </w:r>
      <w:proofErr w:type="spellStart"/>
      <w:r w:rsidRPr="00AB3DFE">
        <w:t>Rehablitation</w:t>
      </w:r>
      <w:proofErr w:type="spellEnd"/>
      <w:r w:rsidRPr="00AB3DFE">
        <w:t xml:space="preserve"> Center</w:t>
      </w:r>
    </w:p>
    <w:p w:rsidR="00AB3DFE" w:rsidRPr="00AB3DFE" w:rsidRDefault="00AB3DFE" w:rsidP="00AB3DFE">
      <w:pPr>
        <w:pStyle w:val="Body"/>
      </w:pPr>
      <w:r w:rsidRPr="00AB3DFE">
        <w:t xml:space="preserve">The adjusted-effect distribution demonstrated substantial heterogeneity in the predictors of poor clinical outcome among hypertensive patients. Metabolic syndrome emerged as the strongest independent predictor, increasing the odds of poor clinical outcome by more than twofold (AOR 2.14; 95% CI: 1.29–3.55), followed by diabetes mellitus (AOR 1.89; 95% CI: 1.10–3.24) and poor disease-related knowledge (AOR 1.76; 95% CI: 1.05–2.94). Older age (≥65 years) also significantly elevated risk (AOR 1.72; 95% CI: 1.04–2.86), while family history of </w:t>
      </w:r>
      <w:proofErr w:type="spellStart"/>
      <w:r w:rsidRPr="00AB3DFE">
        <w:t>cardiometabolic</w:t>
      </w:r>
      <w:proofErr w:type="spellEnd"/>
      <w:r w:rsidRPr="00AB3DFE">
        <w:t xml:space="preserve"> disease remained independently associated with adverse outcomes (AOR 1.61; 95% CI: 1.03–2.52). In contrast, secondary or higher education and income above the median level demonstrated marked protective effects, reducing the odds of poor clinical outcome by 54% and 61%, respectively. The distribution pattern indicates that metabolic and knowledge-related determinants exerted stronger adverse effects than demographic variables, whereas socioeconomic advantage showed clinically meaningful protective associations.</w:t>
      </w:r>
    </w:p>
    <w:p w:rsidR="00AB3DFE" w:rsidRPr="00AB3DFE" w:rsidRDefault="00AB3DFE" w:rsidP="00B001CB">
      <w:pPr>
        <w:pStyle w:val="Heading1"/>
      </w:pPr>
      <w:r w:rsidRPr="00AB3DFE">
        <w:t>DISCUSSION</w:t>
      </w:r>
    </w:p>
    <w:p w:rsidR="00AB3DFE" w:rsidRPr="00AB3DFE" w:rsidRDefault="00AB3DFE" w:rsidP="00AB3DFE">
      <w:pPr>
        <w:pStyle w:val="Body"/>
      </w:pPr>
      <w:r w:rsidRPr="00AB3DFE">
        <w:t xml:space="preserve">The present study evaluated lifestyle adherence and clinical outcomes among hypertensive patients attending </w:t>
      </w:r>
      <w:proofErr w:type="spellStart"/>
      <w:r w:rsidRPr="00AB3DFE">
        <w:t>Riphah</w:t>
      </w:r>
      <w:proofErr w:type="spellEnd"/>
      <w:r w:rsidRPr="00AB3DFE">
        <w:t xml:space="preserve"> </w:t>
      </w:r>
      <w:proofErr w:type="spellStart"/>
      <w:r w:rsidRPr="00AB3DFE">
        <w:t>Rehablitation</w:t>
      </w:r>
      <w:proofErr w:type="spellEnd"/>
      <w:r w:rsidRPr="00AB3DFE">
        <w:t xml:space="preserve"> Center and demonstrated a high burden of poor clinical outcome accompanied by markedly low adherence to recommended lifestyle modifications. Only 23.7% of participants achieved overall lifestyle adherence, whereas 76.3% experienced poor overall clinical outcomes, highlighting a substantial gap between evidence-based hypertension management recommendations and actual patient behavior in routine clinical </w:t>
      </w:r>
      <w:proofErr w:type="gramStart"/>
      <w:r w:rsidRPr="00AB3DFE">
        <w:t>practice .</w:t>
      </w:r>
      <w:proofErr w:type="gramEnd"/>
      <w:r w:rsidRPr="00AB3DFE">
        <w:t xml:space="preserve"> The findings emphasize that hypertension management extends beyond pharmacological therapy alone and requires sustained adherence to behavioral and </w:t>
      </w:r>
      <w:proofErr w:type="spellStart"/>
      <w:r w:rsidRPr="00AB3DFE">
        <w:t>cardiometabolic</w:t>
      </w:r>
      <w:proofErr w:type="spellEnd"/>
      <w:r w:rsidRPr="00AB3DFE">
        <w:t xml:space="preserve"> risk-reduction strategies.</w:t>
      </w:r>
    </w:p>
    <w:p w:rsidR="00AB3DFE" w:rsidRPr="00AB3DFE" w:rsidRDefault="00AB3DFE" w:rsidP="00AB3DFE">
      <w:pPr>
        <w:pStyle w:val="Body"/>
      </w:pPr>
      <w:r w:rsidRPr="00AB3DFE">
        <w:t xml:space="preserve">The study population demonstrated a considerable burden of coexisting </w:t>
      </w:r>
      <w:proofErr w:type="spellStart"/>
      <w:r w:rsidRPr="00AB3DFE">
        <w:t>cardiometabolic</w:t>
      </w:r>
      <w:proofErr w:type="spellEnd"/>
      <w:r w:rsidRPr="00AB3DFE">
        <w:t xml:space="preserve"> disorders, including diabetes mellitus, dyslipidemia, obesity, and metabolic syndrome. In particular, metabolic syndrome was identified in 47.0% of participants and emerged as the strongest independent predictor of poor clinical outcome, increasing the odds more than twofold. Similarly, diabetes mellitus significantly increased the likelihood of poor outcomes. These findings are consistent with previous evidence showing that combined metabolic abnormalities intensify vascular dysfunction, worsen blood pressure control, and increase cardiovascular risk among hypertensive patients (6</w:t>
      </w:r>
      <w:proofErr w:type="gramStart"/>
      <w:r w:rsidRPr="00AB3DFE">
        <w:t>,7</w:t>
      </w:r>
      <w:proofErr w:type="gramEnd"/>
      <w:r w:rsidRPr="00AB3DFE">
        <w:t>). Prior studies have similarly demonstrated that hypertensive individuals with concomitant diabetes or metabolic syndrome exhibit poorer adherence profiles and lower achievement of therapeutic targets compared with individuals without metabolic comorbidities (8</w:t>
      </w:r>
      <w:proofErr w:type="gramStart"/>
      <w:r w:rsidRPr="00AB3DFE">
        <w:t>,9</w:t>
      </w:r>
      <w:proofErr w:type="gramEnd"/>
      <w:r w:rsidRPr="00AB3DFE">
        <w:t>).</w:t>
      </w:r>
    </w:p>
    <w:p w:rsidR="00AB3DFE" w:rsidRPr="00AB3DFE" w:rsidRDefault="00AB3DFE" w:rsidP="00AB3DFE">
      <w:pPr>
        <w:pStyle w:val="Body"/>
      </w:pPr>
      <w:r w:rsidRPr="00AB3DFE">
        <w:t xml:space="preserve">The low prevalence of adequate physical activity, healthy dietary adherence, and fruit and vegetable intake observed in the present study further supports the growing evidence that non-pharmacological management of hypertension remains insufficiently implemented in many clinical settings. Only 34.4% of participants reported adequate physical activity, while adherence to recommended fruit and vegetable intake was limited to 30.3% of </w:t>
      </w:r>
      <w:proofErr w:type="gramStart"/>
      <w:r w:rsidRPr="00AB3DFE">
        <w:t>patients .</w:t>
      </w:r>
      <w:proofErr w:type="gramEnd"/>
      <w:r w:rsidRPr="00AB3DFE">
        <w:t xml:space="preserve"> These findings align with previous international studies reporting persistent barriers to lifestyle modification among hypertensive patients, including limited awareness, low motivation, socioeconomic constraints, and inadequate counseling support (10</w:t>
      </w:r>
      <w:proofErr w:type="gramStart"/>
      <w:r w:rsidRPr="00AB3DFE">
        <w:t>,11</w:t>
      </w:r>
      <w:proofErr w:type="gramEnd"/>
      <w:r w:rsidRPr="00AB3DFE">
        <w:t>). Lifestyle adherence has consistently been associated with improved blood pressure regulation, reduced cardiovascular mortality, and better long-term clinical outcomes (12</w:t>
      </w:r>
      <w:proofErr w:type="gramStart"/>
      <w:r w:rsidRPr="00AB3DFE">
        <w:t>,13</w:t>
      </w:r>
      <w:proofErr w:type="gramEnd"/>
      <w:r w:rsidRPr="00AB3DFE">
        <w:t>). Therefore, the low adherence rates identified in this study represent a clinically important concern for chronic disease management within teaching-hospital settings.</w:t>
      </w:r>
    </w:p>
    <w:p w:rsidR="00AB3DFE" w:rsidRPr="00AB3DFE" w:rsidRDefault="00AB3DFE" w:rsidP="00AB3DFE">
      <w:pPr>
        <w:pStyle w:val="Body"/>
      </w:pPr>
      <w:r w:rsidRPr="00AB3DFE">
        <w:t>An important finding of the present study was the significant protective effect of higher educational attainment and higher income status. Participants with secondary or higher education demonstrated substantially lower odds of poor clinical outcome, while income above the median level reduced the likelihood of poor outcome by approximately 61%. These findings suggest that socioeconomic advantage may facilitate better disease understanding, access to healthcare resources, treatment continuity, and implementation of healthy lifestyle behaviors. Similar associations between education, health literacy, and improved hypertension control have been reported in prior literature, where individuals with higher educational backgrounds generally exhibit better adherence to medication and lifestyle recommendations (14</w:t>
      </w:r>
      <w:proofErr w:type="gramStart"/>
      <w:r w:rsidRPr="00AB3DFE">
        <w:t>,15</w:t>
      </w:r>
      <w:proofErr w:type="gramEnd"/>
      <w:r w:rsidRPr="00AB3DFE">
        <w:t>). Conversely, limited education and lower income may contribute to poor dietary practices, restricted healthcare access, and reduced ability to sustain behavioral modifications.</w:t>
      </w:r>
    </w:p>
    <w:p w:rsidR="00AB3DFE" w:rsidRPr="00AB3DFE" w:rsidRDefault="00AB3DFE" w:rsidP="00AB3DFE">
      <w:pPr>
        <w:pStyle w:val="Body"/>
      </w:pPr>
      <w:r w:rsidRPr="00AB3DFE">
        <w:t xml:space="preserve">Disease-related knowledge also emerged as an important determinant of outcome in the present study. Participants with poor disease-related knowledge had significantly increased odds of poor clinical outcome, supporting previous evidence that health literacy and patient awareness are essential components of effective hypertension self-management (16). Educational interventions targeting dietary counseling, sodium restriction, physical </w:t>
      </w:r>
      <w:r w:rsidRPr="00AB3DFE">
        <w:lastRenderedPageBreak/>
        <w:t xml:space="preserve">activity, and risk-factor awareness have been shown to improve adherence and blood pressure control among hypertensive populations (17). The current findings therefore reinforce the need for structured patient-centered educational strategies within outpatient hypertension clinics at </w:t>
      </w:r>
      <w:proofErr w:type="spellStart"/>
      <w:r w:rsidRPr="00AB3DFE">
        <w:t>Riphah</w:t>
      </w:r>
      <w:proofErr w:type="spellEnd"/>
      <w:r w:rsidRPr="00AB3DFE">
        <w:t xml:space="preserve"> </w:t>
      </w:r>
      <w:proofErr w:type="spellStart"/>
      <w:r w:rsidRPr="00AB3DFE">
        <w:t>Rehablitation</w:t>
      </w:r>
      <w:proofErr w:type="spellEnd"/>
      <w:r w:rsidRPr="00AB3DFE">
        <w:t xml:space="preserve"> Center.</w:t>
      </w:r>
    </w:p>
    <w:p w:rsidR="00AB3DFE" w:rsidRPr="00AB3DFE" w:rsidRDefault="00AB3DFE" w:rsidP="00AB3DFE">
      <w:pPr>
        <w:pStyle w:val="Body"/>
      </w:pPr>
      <w:r w:rsidRPr="00AB3DFE">
        <w:t xml:space="preserve">Older age was independently associated with poorer clinical outcomes, which may reflect cumulative </w:t>
      </w:r>
      <w:proofErr w:type="spellStart"/>
      <w:r w:rsidRPr="00AB3DFE">
        <w:t>cardiometabolic</w:t>
      </w:r>
      <w:proofErr w:type="spellEnd"/>
      <w:r w:rsidRPr="00AB3DFE">
        <w:t xml:space="preserve"> burden, reduced physical capacity, </w:t>
      </w:r>
      <w:proofErr w:type="spellStart"/>
      <w:r w:rsidRPr="00AB3DFE">
        <w:t>polypharmacy</w:t>
      </w:r>
      <w:proofErr w:type="spellEnd"/>
      <w:r w:rsidRPr="00AB3DFE">
        <w:t xml:space="preserve">, and increased difficulty maintaining long-term behavioral adherence among elderly patients. Similarly, participants with a family history of </w:t>
      </w:r>
      <w:proofErr w:type="spellStart"/>
      <w:r w:rsidRPr="00AB3DFE">
        <w:t>cardiometabolic</w:t>
      </w:r>
      <w:proofErr w:type="spellEnd"/>
      <w:r w:rsidRPr="00AB3DFE">
        <w:t xml:space="preserve"> disease were more likely to experience poor outcomes, suggesting possible interactions between genetic predisposition, shared lifestyle behaviors, and chronic disease clustering. However, female sex did not demonstrate a statistically significant association with poor clinical outcome after multivariable adjustment, indicating that metabolic, educational, and behavioral determinants may exert stronger influences on disease control than sex differences alone.</w:t>
      </w:r>
    </w:p>
    <w:p w:rsidR="00AB3DFE" w:rsidRPr="00AB3DFE" w:rsidRDefault="00AB3DFE" w:rsidP="00AB3DFE">
      <w:pPr>
        <w:pStyle w:val="Body"/>
      </w:pPr>
      <w:r w:rsidRPr="00AB3DFE">
        <w:t xml:space="preserve">The study has several important clinical implications. Given the high prevalence of obesity, inadequate physical activity, poor dietary adherence, and uncontrolled </w:t>
      </w:r>
      <w:proofErr w:type="spellStart"/>
      <w:r w:rsidRPr="00AB3DFE">
        <w:t>cardiometabolic</w:t>
      </w:r>
      <w:proofErr w:type="spellEnd"/>
      <w:r w:rsidRPr="00AB3DFE">
        <w:t xml:space="preserve"> risk factors observed in the study population, hypertension management programs should incorporate multidisciplinary lifestyle counseling, individualized education, nutritional support, and regular behavioral monitoring. Targeted interventions for older adults, patients with metabolic syndrome, and individuals with limited disease-related knowledge may be particularly beneficial in improving long-term outcomes. In addition, integration of structured lifestyle-adherence programs within teaching-hospital outpatient services may help bridge the gap between therapeutic recommendations and real-world patient behavior.</w:t>
      </w:r>
    </w:p>
    <w:p w:rsidR="00AB3DFE" w:rsidRPr="00AB3DFE" w:rsidRDefault="00AB3DFE" w:rsidP="00AB3DFE">
      <w:pPr>
        <w:pStyle w:val="Body"/>
      </w:pPr>
      <w:r w:rsidRPr="00AB3DFE">
        <w:t xml:space="preserve">Several limitations should be acknowledged when interpreting the study findings. The cross-sectional design limits causal inference between lifestyle adherence and clinical outcomes. Self-reported behavioral measures may also be susceptible to recall and social desirability bias. Furthermore, the study was conducted within a single teaching-hospital setting, which may limit generalizability to other healthcare environments or community populations. Despite these limitations, the study provides valuable hospital-based evidence regarding the substantial burden of poor lifestyle adherence and </w:t>
      </w:r>
      <w:proofErr w:type="spellStart"/>
      <w:r w:rsidRPr="00AB3DFE">
        <w:t>cardiometabolic</w:t>
      </w:r>
      <w:proofErr w:type="spellEnd"/>
      <w:r w:rsidRPr="00AB3DFE">
        <w:t xml:space="preserve"> risk among hypertensive patients in a teaching-hospital setting and identifies clinically meaningful predictors that may inform future intervention strategies.</w:t>
      </w:r>
    </w:p>
    <w:p w:rsidR="00AB3DFE" w:rsidRPr="00AB3DFE" w:rsidRDefault="00AB3DFE" w:rsidP="00B001CB">
      <w:pPr>
        <w:pStyle w:val="Heading1"/>
      </w:pPr>
      <w:r w:rsidRPr="00AB3DFE">
        <w:t>CONCLUSION</w:t>
      </w:r>
    </w:p>
    <w:p w:rsidR="00AB3DFE" w:rsidRDefault="00AB3DFE" w:rsidP="00AB3DFE">
      <w:pPr>
        <w:pStyle w:val="Body"/>
      </w:pPr>
      <w:r w:rsidRPr="00AB3DFE">
        <w:t xml:space="preserve">In conclusion, the present study demonstrated a substantial burden of poor lifestyle adherence and unfavorable clinical outcomes among hypertensive patients attending </w:t>
      </w:r>
      <w:proofErr w:type="spellStart"/>
      <w:r w:rsidRPr="00AB3DFE">
        <w:t>Riphah</w:t>
      </w:r>
      <w:proofErr w:type="spellEnd"/>
      <w:r w:rsidRPr="00AB3DFE">
        <w:t xml:space="preserve"> </w:t>
      </w:r>
      <w:proofErr w:type="spellStart"/>
      <w:r w:rsidRPr="00AB3DFE">
        <w:t>Rehablitation</w:t>
      </w:r>
      <w:proofErr w:type="spellEnd"/>
      <w:r w:rsidRPr="00AB3DFE">
        <w:t xml:space="preserve"> Center. Overall lifestyle adherence was achieved by only 23.7% of participants, while more than three-quarters experienced poor clinical outcomes, reflecting persistent deficiencies in behavioral risk-factor control and </w:t>
      </w:r>
      <w:proofErr w:type="spellStart"/>
      <w:r w:rsidRPr="00AB3DFE">
        <w:t>cardiometabolic</w:t>
      </w:r>
      <w:proofErr w:type="spellEnd"/>
      <w:r w:rsidRPr="00AB3DFE">
        <w:t xml:space="preserve"> </w:t>
      </w:r>
      <w:proofErr w:type="gramStart"/>
      <w:r w:rsidRPr="00AB3DFE">
        <w:t>management .</w:t>
      </w:r>
      <w:proofErr w:type="gramEnd"/>
      <w:r w:rsidRPr="00AB3DFE">
        <w:t xml:space="preserve"> Metabolic syndrome, diabetes mellitus, poor disease-related knowledge, older age, and family history of </w:t>
      </w:r>
      <w:proofErr w:type="spellStart"/>
      <w:r w:rsidRPr="00AB3DFE">
        <w:t>cardiometabolic</w:t>
      </w:r>
      <w:proofErr w:type="spellEnd"/>
      <w:r w:rsidRPr="00AB3DFE">
        <w:t xml:space="preserve"> disease were identified as significant independent predictors of poor outcome, whereas higher educational attainment and improved socioeconomic status exerted protective effects. The findings underscore the critical importance of integrating structured lifestyle counseling, patient education, </w:t>
      </w:r>
      <w:proofErr w:type="spellStart"/>
      <w:r w:rsidRPr="00AB3DFE">
        <w:t>cardiometabolic</w:t>
      </w:r>
      <w:proofErr w:type="spellEnd"/>
      <w:r w:rsidRPr="00AB3DFE">
        <w:t xml:space="preserve"> risk monitoring, and multidisciplinary hypertension-management strategies into routine clinical practice. Strengthening adherence-focused interventions, particularly among high-risk and socioeconomically vulnerable patients, may substantially improve long-term hypertension control and reduce the burden of cardiovascular complications in teaching-hospital settings.</w:t>
      </w:r>
    </w:p>
    <w:p w:rsidR="00B001CB" w:rsidRPr="00AB3DFE" w:rsidRDefault="00B001CB" w:rsidP="00B001CB">
      <w:pPr>
        <w:pStyle w:val="Heading1"/>
      </w:pPr>
      <w:r>
        <w:t>references</w:t>
      </w:r>
    </w:p>
    <w:p w:rsidR="00AB3DFE" w:rsidRPr="00AB3DFE" w:rsidRDefault="00AB3DFE" w:rsidP="00B001CB">
      <w:pPr>
        <w:pStyle w:val="Body"/>
        <w:numPr>
          <w:ilvl w:val="0"/>
          <w:numId w:val="18"/>
        </w:numPr>
      </w:pPr>
      <w:proofErr w:type="spellStart"/>
      <w:r w:rsidRPr="00AB3DFE">
        <w:t>Adinkrah</w:t>
      </w:r>
      <w:proofErr w:type="spellEnd"/>
      <w:r w:rsidRPr="00AB3DFE">
        <w:t xml:space="preserve"> E, </w:t>
      </w:r>
      <w:proofErr w:type="spellStart"/>
      <w:r w:rsidRPr="00AB3DFE">
        <w:t>Bazargan</w:t>
      </w:r>
      <w:proofErr w:type="spellEnd"/>
      <w:r w:rsidRPr="00AB3DFE">
        <w:t xml:space="preserve"> M, </w:t>
      </w:r>
      <w:proofErr w:type="spellStart"/>
      <w:r w:rsidRPr="00AB3DFE">
        <w:t>Wisseh</w:t>
      </w:r>
      <w:proofErr w:type="spellEnd"/>
      <w:r w:rsidRPr="00AB3DFE">
        <w:t xml:space="preserve"> C, </w:t>
      </w:r>
      <w:proofErr w:type="spellStart"/>
      <w:r w:rsidRPr="00AB3DFE">
        <w:t>Assari</w:t>
      </w:r>
      <w:proofErr w:type="spellEnd"/>
      <w:r w:rsidRPr="00AB3DFE">
        <w:t xml:space="preserve"> S. Adherence to hypertension medications and lifestyle recommendations among underserved African American middle-aged and older adults. </w:t>
      </w:r>
      <w:proofErr w:type="spellStart"/>
      <w:r w:rsidRPr="00AB3DFE">
        <w:t>Int</w:t>
      </w:r>
      <w:proofErr w:type="spellEnd"/>
      <w:r w:rsidRPr="00AB3DFE">
        <w:t xml:space="preserve"> J Environ Res Public Health. 2020</w:t>
      </w:r>
      <w:proofErr w:type="gramStart"/>
      <w:r w:rsidRPr="00AB3DFE">
        <w:t>;17</w:t>
      </w:r>
      <w:proofErr w:type="gramEnd"/>
      <w:r w:rsidRPr="00AB3DFE">
        <w:t xml:space="preserve">(18):6538. </w:t>
      </w:r>
      <w:proofErr w:type="gramStart"/>
      <w:r w:rsidRPr="00AB3DFE">
        <w:t>doi:</w:t>
      </w:r>
      <w:proofErr w:type="gramEnd"/>
      <w:r w:rsidRPr="00AB3DFE">
        <w:t xml:space="preserve">10.3390/ijerph17186538. </w:t>
      </w:r>
    </w:p>
    <w:p w:rsidR="00AB3DFE" w:rsidRPr="00AB3DFE" w:rsidRDefault="00AB3DFE" w:rsidP="00B001CB">
      <w:pPr>
        <w:pStyle w:val="Body"/>
        <w:numPr>
          <w:ilvl w:val="0"/>
          <w:numId w:val="18"/>
        </w:numPr>
      </w:pPr>
      <w:proofErr w:type="spellStart"/>
      <w:r w:rsidRPr="00AB3DFE">
        <w:t>Alanazi</w:t>
      </w:r>
      <w:proofErr w:type="spellEnd"/>
      <w:r w:rsidRPr="00AB3DFE">
        <w:t xml:space="preserve"> Z, </w:t>
      </w:r>
      <w:proofErr w:type="spellStart"/>
      <w:r w:rsidRPr="00AB3DFE">
        <w:t>Alanazi</w:t>
      </w:r>
      <w:proofErr w:type="spellEnd"/>
      <w:r w:rsidRPr="00AB3DFE">
        <w:t xml:space="preserve"> R, </w:t>
      </w:r>
      <w:proofErr w:type="spellStart"/>
      <w:r w:rsidRPr="00AB3DFE">
        <w:t>Alanazi</w:t>
      </w:r>
      <w:proofErr w:type="spellEnd"/>
      <w:r w:rsidRPr="00AB3DFE">
        <w:t xml:space="preserve"> H, </w:t>
      </w:r>
      <w:proofErr w:type="spellStart"/>
      <w:r w:rsidRPr="00AB3DFE">
        <w:t>Alanazi</w:t>
      </w:r>
      <w:proofErr w:type="spellEnd"/>
      <w:r w:rsidRPr="00AB3DFE">
        <w:t xml:space="preserve"> J. A systematic review of adherence to lifestyle modifications by hypertensive patients. East </w:t>
      </w:r>
      <w:proofErr w:type="spellStart"/>
      <w:r w:rsidRPr="00AB3DFE">
        <w:t>Mediterr</w:t>
      </w:r>
      <w:proofErr w:type="spellEnd"/>
      <w:r w:rsidRPr="00AB3DFE">
        <w:t xml:space="preserve"> Health J. 2025</w:t>
      </w:r>
      <w:proofErr w:type="gramStart"/>
      <w:r w:rsidRPr="00AB3DFE">
        <w:t>;31</w:t>
      </w:r>
      <w:proofErr w:type="gramEnd"/>
      <w:r w:rsidRPr="00AB3DFE">
        <w:t xml:space="preserve">(10):590. doi:10.26719/2025.31.10.590. </w:t>
      </w:r>
    </w:p>
    <w:p w:rsidR="00AB3DFE" w:rsidRPr="00AB3DFE" w:rsidRDefault="00AB3DFE" w:rsidP="00B001CB">
      <w:pPr>
        <w:pStyle w:val="Body"/>
        <w:numPr>
          <w:ilvl w:val="0"/>
          <w:numId w:val="18"/>
        </w:numPr>
      </w:pPr>
      <w:proofErr w:type="spellStart"/>
      <w:r w:rsidRPr="00AB3DFE">
        <w:t>Algabbani</w:t>
      </w:r>
      <w:proofErr w:type="spellEnd"/>
      <w:r w:rsidRPr="00AB3DFE">
        <w:t xml:space="preserve"> F, </w:t>
      </w:r>
      <w:proofErr w:type="spellStart"/>
      <w:r w:rsidRPr="00AB3DFE">
        <w:t>Algabbani</w:t>
      </w:r>
      <w:proofErr w:type="spellEnd"/>
      <w:r w:rsidRPr="00AB3DFE">
        <w:t xml:space="preserve"> A. Treatment adherence among patients with hypertension: findings from a cross-sectional study. </w:t>
      </w:r>
      <w:proofErr w:type="spellStart"/>
      <w:r w:rsidRPr="00AB3DFE">
        <w:t>Clin</w:t>
      </w:r>
      <w:proofErr w:type="spellEnd"/>
      <w:r w:rsidRPr="00AB3DFE">
        <w:t xml:space="preserve"> </w:t>
      </w:r>
      <w:proofErr w:type="spellStart"/>
      <w:r w:rsidRPr="00AB3DFE">
        <w:t>Hypertens</w:t>
      </w:r>
      <w:proofErr w:type="spellEnd"/>
      <w:r w:rsidRPr="00AB3DFE">
        <w:t xml:space="preserve">. 2020. </w:t>
      </w:r>
      <w:proofErr w:type="gramStart"/>
      <w:r w:rsidRPr="00AB3DFE">
        <w:t>doi:</w:t>
      </w:r>
      <w:proofErr w:type="gramEnd"/>
      <w:r w:rsidRPr="00AB3DFE">
        <w:t xml:space="preserve">10.1186/s40885-020-00151-1. </w:t>
      </w:r>
    </w:p>
    <w:p w:rsidR="00AB3DFE" w:rsidRPr="00AB3DFE" w:rsidRDefault="00AB3DFE" w:rsidP="00B001CB">
      <w:pPr>
        <w:pStyle w:val="Body"/>
        <w:numPr>
          <w:ilvl w:val="0"/>
          <w:numId w:val="18"/>
        </w:numPr>
      </w:pPr>
      <w:proofErr w:type="spellStart"/>
      <w:r w:rsidRPr="00AB3DFE">
        <w:lastRenderedPageBreak/>
        <w:t>Andualem</w:t>
      </w:r>
      <w:proofErr w:type="spellEnd"/>
      <w:r w:rsidRPr="00AB3DFE">
        <w:t xml:space="preserve"> A, </w:t>
      </w:r>
      <w:proofErr w:type="spellStart"/>
      <w:r w:rsidRPr="00AB3DFE">
        <w:t>Gelaye</w:t>
      </w:r>
      <w:proofErr w:type="spellEnd"/>
      <w:r w:rsidRPr="00AB3DFE">
        <w:t xml:space="preserve"> H, </w:t>
      </w:r>
      <w:proofErr w:type="spellStart"/>
      <w:r w:rsidRPr="00AB3DFE">
        <w:t>Damtie</w:t>
      </w:r>
      <w:proofErr w:type="spellEnd"/>
      <w:r w:rsidRPr="00AB3DFE">
        <w:t xml:space="preserve"> Y. Adherence to lifestyle modifications and associated factors among adult hypertensive patients attending chronic follow-up units of </w:t>
      </w:r>
      <w:proofErr w:type="spellStart"/>
      <w:r w:rsidRPr="00AB3DFE">
        <w:t>Dessie</w:t>
      </w:r>
      <w:proofErr w:type="spellEnd"/>
      <w:r w:rsidRPr="00AB3DFE">
        <w:t xml:space="preserve"> Referral Hospital, North East Ethiopia, 2020. </w:t>
      </w:r>
      <w:proofErr w:type="spellStart"/>
      <w:r w:rsidRPr="00AB3DFE">
        <w:t>Integr</w:t>
      </w:r>
      <w:proofErr w:type="spellEnd"/>
      <w:r w:rsidRPr="00AB3DFE">
        <w:t xml:space="preserve"> Blood Press Control. 2020. doi:10.2147/IBPC.S275575. </w:t>
      </w:r>
    </w:p>
    <w:p w:rsidR="00AB3DFE" w:rsidRPr="00AB3DFE" w:rsidRDefault="00AB3DFE" w:rsidP="00B001CB">
      <w:pPr>
        <w:pStyle w:val="Body"/>
        <w:numPr>
          <w:ilvl w:val="0"/>
          <w:numId w:val="18"/>
        </w:numPr>
      </w:pPr>
      <w:proofErr w:type="spellStart"/>
      <w:r w:rsidRPr="00AB3DFE">
        <w:t>Boima</w:t>
      </w:r>
      <w:proofErr w:type="spellEnd"/>
      <w:r w:rsidRPr="00AB3DFE">
        <w:t xml:space="preserve"> V, </w:t>
      </w:r>
      <w:proofErr w:type="spellStart"/>
      <w:r w:rsidRPr="00AB3DFE">
        <w:t>Doku</w:t>
      </w:r>
      <w:proofErr w:type="spellEnd"/>
      <w:r w:rsidRPr="00AB3DFE">
        <w:t xml:space="preserve"> A, </w:t>
      </w:r>
      <w:proofErr w:type="spellStart"/>
      <w:r w:rsidRPr="00AB3DFE">
        <w:t>Agyekum</w:t>
      </w:r>
      <w:proofErr w:type="spellEnd"/>
      <w:r w:rsidRPr="00AB3DFE">
        <w:t xml:space="preserve"> F, </w:t>
      </w:r>
      <w:proofErr w:type="spellStart"/>
      <w:r w:rsidRPr="00AB3DFE">
        <w:t>Tuglo</w:t>
      </w:r>
      <w:proofErr w:type="spellEnd"/>
      <w:r w:rsidRPr="00AB3DFE">
        <w:t xml:space="preserve"> LS, </w:t>
      </w:r>
      <w:proofErr w:type="spellStart"/>
      <w:r w:rsidRPr="00AB3DFE">
        <w:t>Agyemang</w:t>
      </w:r>
      <w:proofErr w:type="spellEnd"/>
      <w:r w:rsidRPr="00AB3DFE">
        <w:t xml:space="preserve"> C. Effectiveness of digital health interventions on blood pressure control, lifestyle </w:t>
      </w:r>
      <w:proofErr w:type="spellStart"/>
      <w:r w:rsidRPr="00AB3DFE">
        <w:t>behaviours</w:t>
      </w:r>
      <w:proofErr w:type="spellEnd"/>
      <w:r w:rsidRPr="00AB3DFE">
        <w:t xml:space="preserve"> and adherence to medication in patients with hypertension in low-income and middle-income countries: a systematic review and meta-analysis of </w:t>
      </w:r>
      <w:proofErr w:type="spellStart"/>
      <w:r w:rsidRPr="00AB3DFE">
        <w:t>randomised</w:t>
      </w:r>
      <w:proofErr w:type="spellEnd"/>
      <w:r w:rsidRPr="00AB3DFE">
        <w:t xml:space="preserve"> controlled trials. </w:t>
      </w:r>
      <w:proofErr w:type="spellStart"/>
      <w:proofErr w:type="gramStart"/>
      <w:r w:rsidRPr="00AB3DFE">
        <w:t>eClinicalMedicine</w:t>
      </w:r>
      <w:proofErr w:type="spellEnd"/>
      <w:proofErr w:type="gramEnd"/>
      <w:r w:rsidRPr="00AB3DFE">
        <w:t>. 2024</w:t>
      </w:r>
      <w:proofErr w:type="gramStart"/>
      <w:r w:rsidRPr="00AB3DFE">
        <w:t>;69:102432</w:t>
      </w:r>
      <w:proofErr w:type="gramEnd"/>
      <w:r w:rsidRPr="00AB3DFE">
        <w:t xml:space="preserve">. doi:10.1016/j.eclinm.2024.102432. </w:t>
      </w:r>
    </w:p>
    <w:p w:rsidR="00AB3DFE" w:rsidRPr="00AB3DFE" w:rsidRDefault="00AB3DFE" w:rsidP="00B001CB">
      <w:pPr>
        <w:pStyle w:val="Body"/>
        <w:numPr>
          <w:ilvl w:val="0"/>
          <w:numId w:val="18"/>
        </w:numPr>
      </w:pPr>
      <w:proofErr w:type="spellStart"/>
      <w:r w:rsidRPr="00AB3DFE">
        <w:t>Charchar</w:t>
      </w:r>
      <w:proofErr w:type="spellEnd"/>
      <w:r w:rsidRPr="00AB3DFE">
        <w:t xml:space="preserve"> F, </w:t>
      </w:r>
      <w:proofErr w:type="spellStart"/>
      <w:r w:rsidRPr="00AB3DFE">
        <w:t>Prestes</w:t>
      </w:r>
      <w:proofErr w:type="spellEnd"/>
      <w:r w:rsidRPr="00AB3DFE">
        <w:t xml:space="preserve"> P, Mills C, </w:t>
      </w:r>
      <w:proofErr w:type="spellStart"/>
      <w:r w:rsidRPr="00AB3DFE">
        <w:t>Ching</w:t>
      </w:r>
      <w:proofErr w:type="spellEnd"/>
      <w:r w:rsidRPr="00AB3DFE">
        <w:t xml:space="preserve"> S, </w:t>
      </w:r>
      <w:proofErr w:type="spellStart"/>
      <w:r w:rsidRPr="00AB3DFE">
        <w:t>Neupane</w:t>
      </w:r>
      <w:proofErr w:type="spellEnd"/>
      <w:r w:rsidRPr="00AB3DFE">
        <w:t xml:space="preserve"> D, Marques FZ, et al. Lifestyle management of hypertension: International Society of Hypertension position paper endorsed by the World Hypertension League and European Society of Hypertension. J </w:t>
      </w:r>
      <w:proofErr w:type="spellStart"/>
      <w:r w:rsidRPr="00AB3DFE">
        <w:t>Hypertens</w:t>
      </w:r>
      <w:proofErr w:type="spellEnd"/>
      <w:r w:rsidRPr="00AB3DFE">
        <w:t xml:space="preserve">. 2023. doi:10.1097/HJH.0000000000003563. </w:t>
      </w:r>
    </w:p>
    <w:p w:rsidR="00AB3DFE" w:rsidRPr="00AB3DFE" w:rsidRDefault="00AB3DFE" w:rsidP="00B001CB">
      <w:pPr>
        <w:pStyle w:val="Body"/>
        <w:numPr>
          <w:ilvl w:val="0"/>
          <w:numId w:val="18"/>
        </w:numPr>
      </w:pPr>
      <w:r w:rsidRPr="00AB3DFE">
        <w:t xml:space="preserve">Choudhry N, </w:t>
      </w:r>
      <w:proofErr w:type="spellStart"/>
      <w:r w:rsidRPr="00AB3DFE">
        <w:t>Kronish</w:t>
      </w:r>
      <w:proofErr w:type="spellEnd"/>
      <w:r w:rsidRPr="00AB3DFE">
        <w:t xml:space="preserve"> I, </w:t>
      </w:r>
      <w:proofErr w:type="spellStart"/>
      <w:r w:rsidRPr="00AB3DFE">
        <w:t>Vongpatanasin</w:t>
      </w:r>
      <w:proofErr w:type="spellEnd"/>
      <w:r w:rsidRPr="00AB3DFE">
        <w:t xml:space="preserve"> W, Ferdinand K, </w:t>
      </w:r>
      <w:proofErr w:type="spellStart"/>
      <w:r w:rsidRPr="00AB3DFE">
        <w:t>Pavlik</w:t>
      </w:r>
      <w:proofErr w:type="spellEnd"/>
      <w:r w:rsidRPr="00AB3DFE">
        <w:t xml:space="preserve"> V, Egan B, et al. Medication adherence and blood pressure control: a scientific statement from the American Heart Association. Hypertension. 2021. doi:10.1161/HYP.0000000000000203. </w:t>
      </w:r>
    </w:p>
    <w:p w:rsidR="00AB3DFE" w:rsidRPr="00AB3DFE" w:rsidRDefault="00AB3DFE" w:rsidP="00B001CB">
      <w:pPr>
        <w:pStyle w:val="Body"/>
        <w:numPr>
          <w:ilvl w:val="0"/>
          <w:numId w:val="18"/>
        </w:numPr>
      </w:pPr>
      <w:proofErr w:type="spellStart"/>
      <w:r w:rsidRPr="00AB3DFE">
        <w:t>Dhakal</w:t>
      </w:r>
      <w:proofErr w:type="spellEnd"/>
      <w:r w:rsidRPr="00AB3DFE">
        <w:t xml:space="preserve"> A, KC T, </w:t>
      </w:r>
      <w:proofErr w:type="spellStart"/>
      <w:r w:rsidRPr="00AB3DFE">
        <w:t>Neupane</w:t>
      </w:r>
      <w:proofErr w:type="spellEnd"/>
      <w:r w:rsidRPr="00AB3DFE">
        <w:t xml:space="preserve"> M. Adherence to lifestyle modifications and its associated factors in hypertensive patients. J </w:t>
      </w:r>
      <w:proofErr w:type="spellStart"/>
      <w:r w:rsidRPr="00AB3DFE">
        <w:t>Clin</w:t>
      </w:r>
      <w:proofErr w:type="spellEnd"/>
      <w:r w:rsidRPr="00AB3DFE">
        <w:t xml:space="preserve"> </w:t>
      </w:r>
      <w:proofErr w:type="spellStart"/>
      <w:r w:rsidRPr="00AB3DFE">
        <w:t>Nurs</w:t>
      </w:r>
      <w:proofErr w:type="spellEnd"/>
      <w:r w:rsidRPr="00AB3DFE">
        <w:t>. 2021</w:t>
      </w:r>
      <w:proofErr w:type="gramStart"/>
      <w:r w:rsidRPr="00AB3DFE">
        <w:t>;31</w:t>
      </w:r>
      <w:proofErr w:type="gramEnd"/>
      <w:r w:rsidRPr="00AB3DFE">
        <w:t xml:space="preserve">(15-16):2181-2188. doi:10.1111/jocn.16033. </w:t>
      </w:r>
    </w:p>
    <w:p w:rsidR="00AB3DFE" w:rsidRPr="00AB3DFE" w:rsidRDefault="00AB3DFE" w:rsidP="00B001CB">
      <w:pPr>
        <w:pStyle w:val="Body"/>
        <w:numPr>
          <w:ilvl w:val="0"/>
          <w:numId w:val="18"/>
        </w:numPr>
      </w:pPr>
      <w:proofErr w:type="spellStart"/>
      <w:r w:rsidRPr="00AB3DFE">
        <w:t>Espinel</w:t>
      </w:r>
      <w:proofErr w:type="spellEnd"/>
      <w:r w:rsidRPr="00AB3DFE">
        <w:t xml:space="preserve"> E, </w:t>
      </w:r>
      <w:proofErr w:type="spellStart"/>
      <w:r w:rsidRPr="00AB3DFE">
        <w:t>Azancot</w:t>
      </w:r>
      <w:proofErr w:type="spellEnd"/>
      <w:r w:rsidRPr="00AB3DFE">
        <w:t xml:space="preserve"> M, Gómez A, </w:t>
      </w:r>
      <w:proofErr w:type="spellStart"/>
      <w:r w:rsidRPr="00AB3DFE">
        <w:t>Beneria</w:t>
      </w:r>
      <w:proofErr w:type="spellEnd"/>
      <w:r w:rsidRPr="00AB3DFE">
        <w:t xml:space="preserve"> A, </w:t>
      </w:r>
      <w:proofErr w:type="spellStart"/>
      <w:r w:rsidRPr="00AB3DFE">
        <w:t>Caraben</w:t>
      </w:r>
      <w:proofErr w:type="spellEnd"/>
      <w:r w:rsidRPr="00AB3DFE">
        <w:t xml:space="preserve"> A, </w:t>
      </w:r>
      <w:proofErr w:type="spellStart"/>
      <w:r w:rsidRPr="00AB3DFE">
        <w:t>Andurell</w:t>
      </w:r>
      <w:proofErr w:type="spellEnd"/>
      <w:r w:rsidRPr="00AB3DFE">
        <w:t xml:space="preserve"> L, et al. Compliance to multidisciplinary lifestyle intervention decreases blood pressure in patients with resistant hypertension: a cross-sectional pilot study. J </w:t>
      </w:r>
      <w:proofErr w:type="spellStart"/>
      <w:r w:rsidRPr="00AB3DFE">
        <w:t>Clin</w:t>
      </w:r>
      <w:proofErr w:type="spellEnd"/>
      <w:r w:rsidRPr="00AB3DFE">
        <w:t xml:space="preserve"> Med. 2023. </w:t>
      </w:r>
      <w:proofErr w:type="gramStart"/>
      <w:r w:rsidRPr="00AB3DFE">
        <w:t>doi:</w:t>
      </w:r>
      <w:proofErr w:type="gramEnd"/>
      <w:r w:rsidRPr="00AB3DFE">
        <w:t xml:space="preserve">10.3390/jcm12020679. </w:t>
      </w:r>
    </w:p>
    <w:p w:rsidR="00AB3DFE" w:rsidRPr="00AB3DFE" w:rsidRDefault="00AB3DFE" w:rsidP="00B001CB">
      <w:pPr>
        <w:pStyle w:val="Body"/>
        <w:numPr>
          <w:ilvl w:val="0"/>
          <w:numId w:val="18"/>
        </w:numPr>
      </w:pPr>
      <w:proofErr w:type="spellStart"/>
      <w:r w:rsidRPr="00AB3DFE">
        <w:t>Gaffari-Fam</w:t>
      </w:r>
      <w:proofErr w:type="spellEnd"/>
      <w:r w:rsidRPr="00AB3DFE">
        <w:t xml:space="preserve"> S, </w:t>
      </w:r>
      <w:proofErr w:type="spellStart"/>
      <w:r w:rsidRPr="00AB3DFE">
        <w:t>Babazadeh</w:t>
      </w:r>
      <w:proofErr w:type="spellEnd"/>
      <w:r w:rsidRPr="00AB3DFE">
        <w:t xml:space="preserve"> T, </w:t>
      </w:r>
      <w:proofErr w:type="spellStart"/>
      <w:r w:rsidRPr="00AB3DFE">
        <w:t>Oliaei</w:t>
      </w:r>
      <w:proofErr w:type="spellEnd"/>
      <w:r w:rsidRPr="00AB3DFE">
        <w:t xml:space="preserve"> S, </w:t>
      </w:r>
      <w:proofErr w:type="spellStart"/>
      <w:r w:rsidRPr="00AB3DFE">
        <w:t>Behboodi</w:t>
      </w:r>
      <w:proofErr w:type="spellEnd"/>
      <w:r w:rsidRPr="00AB3DFE">
        <w:t xml:space="preserve"> L, </w:t>
      </w:r>
      <w:proofErr w:type="spellStart"/>
      <w:r w:rsidRPr="00AB3DFE">
        <w:t>Daemi</w:t>
      </w:r>
      <w:proofErr w:type="spellEnd"/>
      <w:r w:rsidRPr="00AB3DFE">
        <w:t xml:space="preserve"> A. Adherence to a health literacy and healthy lifestyle with improved blood pressure control in Iran. Patient Prefer Adherence. 2020. doi:10.2147/PPA.S244820. </w:t>
      </w:r>
    </w:p>
    <w:p w:rsidR="00AB3DFE" w:rsidRPr="00AB3DFE" w:rsidRDefault="00AB3DFE" w:rsidP="00B001CB">
      <w:pPr>
        <w:pStyle w:val="Body"/>
        <w:numPr>
          <w:ilvl w:val="0"/>
          <w:numId w:val="18"/>
        </w:numPr>
      </w:pPr>
      <w:proofErr w:type="spellStart"/>
      <w:r w:rsidRPr="00AB3DFE">
        <w:t>Hamrahian</w:t>
      </w:r>
      <w:proofErr w:type="spellEnd"/>
      <w:r w:rsidRPr="00AB3DFE">
        <w:t xml:space="preserve"> S, </w:t>
      </w:r>
      <w:proofErr w:type="spellStart"/>
      <w:r w:rsidRPr="00AB3DFE">
        <w:t>Maarouf</w:t>
      </w:r>
      <w:proofErr w:type="spellEnd"/>
      <w:r w:rsidRPr="00AB3DFE">
        <w:t xml:space="preserve"> O, </w:t>
      </w:r>
      <w:proofErr w:type="spellStart"/>
      <w:r w:rsidRPr="00AB3DFE">
        <w:t>Fülöp</w:t>
      </w:r>
      <w:proofErr w:type="spellEnd"/>
      <w:r w:rsidRPr="00AB3DFE">
        <w:t xml:space="preserve"> T. A critical review of medication adherence in hypertension: barriers and facilitators clinicians should consider. Patient Prefer Adherence. 2022. doi:10.2147/PPA.S368784. </w:t>
      </w:r>
    </w:p>
    <w:p w:rsidR="00AB3DFE" w:rsidRPr="00AB3DFE" w:rsidRDefault="00AB3DFE" w:rsidP="00B001CB">
      <w:pPr>
        <w:pStyle w:val="Body"/>
        <w:numPr>
          <w:ilvl w:val="0"/>
          <w:numId w:val="18"/>
        </w:numPr>
      </w:pPr>
      <w:proofErr w:type="spellStart"/>
      <w:r w:rsidRPr="00AB3DFE">
        <w:t>Izeogu</w:t>
      </w:r>
      <w:proofErr w:type="spellEnd"/>
      <w:r w:rsidRPr="00AB3DFE">
        <w:t xml:space="preserve"> C, </w:t>
      </w:r>
      <w:proofErr w:type="spellStart"/>
      <w:r w:rsidRPr="00AB3DFE">
        <w:t>Kalinowski</w:t>
      </w:r>
      <w:proofErr w:type="spellEnd"/>
      <w:r w:rsidRPr="00AB3DFE">
        <w:t xml:space="preserve"> J, </w:t>
      </w:r>
      <w:proofErr w:type="spellStart"/>
      <w:r w:rsidRPr="00AB3DFE">
        <w:t>Schoenthaler</w:t>
      </w:r>
      <w:proofErr w:type="spellEnd"/>
      <w:r w:rsidRPr="00AB3DFE">
        <w:t xml:space="preserve"> AM. Strategies to improve adherence to anti-hypertensive medications: a narrative review. </w:t>
      </w:r>
      <w:proofErr w:type="spellStart"/>
      <w:r w:rsidRPr="00AB3DFE">
        <w:t>Curr</w:t>
      </w:r>
      <w:proofErr w:type="spellEnd"/>
      <w:r w:rsidRPr="00AB3DFE">
        <w:t xml:space="preserve"> </w:t>
      </w:r>
      <w:proofErr w:type="spellStart"/>
      <w:r w:rsidRPr="00AB3DFE">
        <w:t>Hypertens</w:t>
      </w:r>
      <w:proofErr w:type="spellEnd"/>
      <w:r w:rsidRPr="00AB3DFE">
        <w:t xml:space="preserve"> Rep. 2020. </w:t>
      </w:r>
      <w:proofErr w:type="gramStart"/>
      <w:r w:rsidRPr="00AB3DFE">
        <w:t>doi:</w:t>
      </w:r>
      <w:proofErr w:type="gramEnd"/>
      <w:r w:rsidRPr="00AB3DFE">
        <w:t xml:space="preserve">10.1007/s11906-020-01115-4. </w:t>
      </w:r>
    </w:p>
    <w:p w:rsidR="00AB3DFE" w:rsidRPr="00AB3DFE" w:rsidRDefault="00AB3DFE" w:rsidP="00B001CB">
      <w:pPr>
        <w:pStyle w:val="Body"/>
        <w:numPr>
          <w:ilvl w:val="0"/>
          <w:numId w:val="18"/>
        </w:numPr>
      </w:pPr>
      <w:r w:rsidRPr="00AB3DFE">
        <w:t xml:space="preserve">Lopes S, Félix G, </w:t>
      </w:r>
      <w:proofErr w:type="spellStart"/>
      <w:r w:rsidRPr="00AB3DFE">
        <w:t>Mesquita-Bastos</w:t>
      </w:r>
      <w:proofErr w:type="spellEnd"/>
      <w:r w:rsidRPr="00AB3DFE">
        <w:t xml:space="preserve"> J, </w:t>
      </w:r>
      <w:proofErr w:type="spellStart"/>
      <w:r w:rsidRPr="00AB3DFE">
        <w:t>Figueiredo</w:t>
      </w:r>
      <w:proofErr w:type="spellEnd"/>
      <w:r w:rsidRPr="00AB3DFE">
        <w:t xml:space="preserve"> D, Oliveira J, </w:t>
      </w:r>
      <w:proofErr w:type="spellStart"/>
      <w:r w:rsidRPr="00AB3DFE">
        <w:t>Ribeiro</w:t>
      </w:r>
      <w:proofErr w:type="spellEnd"/>
      <w:r w:rsidRPr="00AB3DFE">
        <w:t xml:space="preserve"> F. Determinants of exercise adherence and maintenance among patients with hypertension: a narrative review. Rev </w:t>
      </w:r>
      <w:proofErr w:type="spellStart"/>
      <w:r w:rsidRPr="00AB3DFE">
        <w:t>Cardiovasc</w:t>
      </w:r>
      <w:proofErr w:type="spellEnd"/>
      <w:r w:rsidRPr="00AB3DFE">
        <w:t xml:space="preserve"> Med. 2021. doi:10.31083/j.rcm2204134. </w:t>
      </w:r>
    </w:p>
    <w:p w:rsidR="00AB3DFE" w:rsidRPr="00AB3DFE" w:rsidRDefault="00AB3DFE" w:rsidP="00B001CB">
      <w:pPr>
        <w:pStyle w:val="Body"/>
        <w:numPr>
          <w:ilvl w:val="0"/>
          <w:numId w:val="18"/>
        </w:numPr>
      </w:pPr>
      <w:r w:rsidRPr="00AB3DFE">
        <w:t xml:space="preserve">Lu Q, Zhang YB, </w:t>
      </w:r>
      <w:proofErr w:type="spellStart"/>
      <w:r w:rsidRPr="00AB3DFE">
        <w:t>Geng</w:t>
      </w:r>
      <w:proofErr w:type="spellEnd"/>
      <w:r w:rsidRPr="00AB3DFE">
        <w:t xml:space="preserve"> T, Yang K, </w:t>
      </w:r>
      <w:proofErr w:type="spellStart"/>
      <w:r w:rsidRPr="00AB3DFE">
        <w:t>Guo</w:t>
      </w:r>
      <w:proofErr w:type="spellEnd"/>
      <w:r w:rsidRPr="00AB3DFE">
        <w:t xml:space="preserve"> KQ, Min X, et al. Association of lifestyle factors and antihypertensive medication use with risk of all-cause and cause-specific mortality among adults with hypertension in China. JAMA </w:t>
      </w:r>
      <w:proofErr w:type="spellStart"/>
      <w:r w:rsidRPr="00AB3DFE">
        <w:t>Netw</w:t>
      </w:r>
      <w:proofErr w:type="spellEnd"/>
      <w:r w:rsidRPr="00AB3DFE">
        <w:t xml:space="preserve"> Open. 2022. doi:10.1001/jamanetworkopen.2021.46118. </w:t>
      </w:r>
    </w:p>
    <w:p w:rsidR="00AB3DFE" w:rsidRPr="00AB3DFE" w:rsidRDefault="00AB3DFE" w:rsidP="00B001CB">
      <w:pPr>
        <w:pStyle w:val="Body"/>
        <w:numPr>
          <w:ilvl w:val="0"/>
          <w:numId w:val="18"/>
        </w:numPr>
      </w:pPr>
      <w:proofErr w:type="spellStart"/>
      <w:r w:rsidRPr="00AB3DFE">
        <w:t>Ojangba</w:t>
      </w:r>
      <w:proofErr w:type="spellEnd"/>
      <w:r w:rsidRPr="00AB3DFE">
        <w:t xml:space="preserve"> T, </w:t>
      </w:r>
      <w:proofErr w:type="spellStart"/>
      <w:r w:rsidRPr="00AB3DFE">
        <w:t>Boamah</w:t>
      </w:r>
      <w:proofErr w:type="spellEnd"/>
      <w:r w:rsidRPr="00AB3DFE">
        <w:t xml:space="preserve"> S, Miao Y, </w:t>
      </w:r>
      <w:proofErr w:type="spellStart"/>
      <w:r w:rsidRPr="00AB3DFE">
        <w:t>Guo</w:t>
      </w:r>
      <w:proofErr w:type="spellEnd"/>
      <w:r w:rsidRPr="00AB3DFE">
        <w:t xml:space="preserve"> X, Fen Y, </w:t>
      </w:r>
      <w:proofErr w:type="spellStart"/>
      <w:r w:rsidRPr="00AB3DFE">
        <w:t>Agboyibor</w:t>
      </w:r>
      <w:proofErr w:type="spellEnd"/>
      <w:r w:rsidRPr="00AB3DFE">
        <w:t xml:space="preserve"> C, et al. Comprehensive effects of lifestyle reform, adherence, and related factors on hypertension control: a review. J </w:t>
      </w:r>
      <w:proofErr w:type="spellStart"/>
      <w:r w:rsidRPr="00AB3DFE">
        <w:t>Clin</w:t>
      </w:r>
      <w:proofErr w:type="spellEnd"/>
      <w:r w:rsidRPr="00AB3DFE">
        <w:t xml:space="preserve"> </w:t>
      </w:r>
      <w:proofErr w:type="spellStart"/>
      <w:r w:rsidRPr="00AB3DFE">
        <w:t>Hypertens</w:t>
      </w:r>
      <w:proofErr w:type="spellEnd"/>
      <w:r w:rsidRPr="00AB3DFE">
        <w:t xml:space="preserve">. 2023. doi:10.1111/jch.14653. </w:t>
      </w:r>
    </w:p>
    <w:p w:rsidR="00AB3DFE" w:rsidRPr="00AB3DFE" w:rsidRDefault="00AB3DFE" w:rsidP="00B001CB">
      <w:pPr>
        <w:pStyle w:val="Body"/>
        <w:numPr>
          <w:ilvl w:val="0"/>
          <w:numId w:val="18"/>
        </w:numPr>
      </w:pPr>
      <w:r w:rsidRPr="00AB3DFE">
        <w:t xml:space="preserve">Pereira PM, </w:t>
      </w:r>
      <w:proofErr w:type="spellStart"/>
      <w:r w:rsidRPr="00AB3DFE">
        <w:t>Landim</w:t>
      </w:r>
      <w:proofErr w:type="spellEnd"/>
      <w:r w:rsidRPr="00AB3DFE">
        <w:t xml:space="preserve"> KSD, Martins D, </w:t>
      </w:r>
      <w:proofErr w:type="spellStart"/>
      <w:r w:rsidRPr="00AB3DFE">
        <w:t>Chimello</w:t>
      </w:r>
      <w:proofErr w:type="spellEnd"/>
      <w:r w:rsidRPr="00AB3DFE">
        <w:t xml:space="preserve"> MF, Santos J, </w:t>
      </w:r>
      <w:proofErr w:type="spellStart"/>
      <w:r w:rsidRPr="00AB3DFE">
        <w:t>Kutz</w:t>
      </w:r>
      <w:proofErr w:type="spellEnd"/>
      <w:r w:rsidRPr="00AB3DFE">
        <w:t xml:space="preserve"> NA, </w:t>
      </w:r>
      <w:proofErr w:type="spellStart"/>
      <w:r w:rsidRPr="00AB3DFE">
        <w:t>Salgueiro</w:t>
      </w:r>
      <w:proofErr w:type="spellEnd"/>
      <w:r w:rsidRPr="00AB3DFE">
        <w:t xml:space="preserve"> M. </w:t>
      </w:r>
      <w:proofErr w:type="spellStart"/>
      <w:r w:rsidRPr="00AB3DFE">
        <w:t>Estilo</w:t>
      </w:r>
      <w:proofErr w:type="spellEnd"/>
      <w:r w:rsidRPr="00AB3DFE">
        <w:t xml:space="preserve"> de </w:t>
      </w:r>
      <w:proofErr w:type="spellStart"/>
      <w:r w:rsidRPr="00AB3DFE">
        <w:t>vida</w:t>
      </w:r>
      <w:proofErr w:type="spellEnd"/>
      <w:r w:rsidRPr="00AB3DFE">
        <w:t xml:space="preserve">, </w:t>
      </w:r>
      <w:proofErr w:type="spellStart"/>
      <w:r w:rsidRPr="00AB3DFE">
        <w:t>adesão</w:t>
      </w:r>
      <w:proofErr w:type="spellEnd"/>
      <w:r w:rsidRPr="00AB3DFE">
        <w:t xml:space="preserve"> </w:t>
      </w:r>
      <w:proofErr w:type="spellStart"/>
      <w:r w:rsidRPr="00AB3DFE">
        <w:t>medicamentosa</w:t>
      </w:r>
      <w:proofErr w:type="spellEnd"/>
      <w:r w:rsidRPr="00AB3DFE">
        <w:t xml:space="preserve"> e </w:t>
      </w:r>
      <w:proofErr w:type="spellStart"/>
      <w:r w:rsidRPr="00AB3DFE">
        <w:t>não</w:t>
      </w:r>
      <w:proofErr w:type="spellEnd"/>
      <w:r w:rsidRPr="00AB3DFE">
        <w:t xml:space="preserve"> </w:t>
      </w:r>
      <w:proofErr w:type="spellStart"/>
      <w:r w:rsidRPr="00AB3DFE">
        <w:t>medicamentosa</w:t>
      </w:r>
      <w:proofErr w:type="spellEnd"/>
      <w:r w:rsidRPr="00AB3DFE">
        <w:t xml:space="preserve"> </w:t>
      </w:r>
      <w:proofErr w:type="spellStart"/>
      <w:r w:rsidRPr="00AB3DFE">
        <w:t>em</w:t>
      </w:r>
      <w:proofErr w:type="spellEnd"/>
      <w:r w:rsidRPr="00AB3DFE">
        <w:t xml:space="preserve"> </w:t>
      </w:r>
      <w:proofErr w:type="spellStart"/>
      <w:r w:rsidRPr="00AB3DFE">
        <w:t>hipertensos</w:t>
      </w:r>
      <w:proofErr w:type="spellEnd"/>
      <w:r w:rsidRPr="00AB3DFE">
        <w:t xml:space="preserve">: </w:t>
      </w:r>
      <w:proofErr w:type="spellStart"/>
      <w:r w:rsidRPr="00AB3DFE">
        <w:t>uma</w:t>
      </w:r>
      <w:proofErr w:type="spellEnd"/>
      <w:r w:rsidRPr="00AB3DFE">
        <w:t xml:space="preserve"> </w:t>
      </w:r>
      <w:proofErr w:type="spellStart"/>
      <w:r w:rsidRPr="00AB3DFE">
        <w:t>revisão</w:t>
      </w:r>
      <w:proofErr w:type="spellEnd"/>
      <w:r w:rsidRPr="00AB3DFE">
        <w:t xml:space="preserve"> </w:t>
      </w:r>
      <w:proofErr w:type="spellStart"/>
      <w:r w:rsidRPr="00AB3DFE">
        <w:t>bibliográfica</w:t>
      </w:r>
      <w:proofErr w:type="spellEnd"/>
      <w:r w:rsidRPr="00AB3DFE">
        <w:t xml:space="preserve">. 2020. doi:10.46642/EFD.V25I268.2271. </w:t>
      </w:r>
    </w:p>
    <w:p w:rsidR="00AB3DFE" w:rsidRPr="00AB3DFE" w:rsidRDefault="00AB3DFE" w:rsidP="00B001CB">
      <w:pPr>
        <w:pStyle w:val="Body"/>
        <w:numPr>
          <w:ilvl w:val="0"/>
          <w:numId w:val="18"/>
        </w:numPr>
      </w:pPr>
      <w:proofErr w:type="spellStart"/>
      <w:r w:rsidRPr="00AB3DFE">
        <w:t>Suriyawong</w:t>
      </w:r>
      <w:proofErr w:type="spellEnd"/>
      <w:r w:rsidRPr="00AB3DFE">
        <w:t xml:space="preserve"> W, Kao T, Robbins L, Ling J, </w:t>
      </w:r>
      <w:proofErr w:type="spellStart"/>
      <w:r w:rsidRPr="00AB3DFE">
        <w:t>Malete</w:t>
      </w:r>
      <w:proofErr w:type="spellEnd"/>
      <w:r w:rsidRPr="00AB3DFE">
        <w:t xml:space="preserve"> L. Psychosocial determinants of recommended lifestyle behaviors among hypertensive patients: an integrative literature review. West J </w:t>
      </w:r>
      <w:proofErr w:type="spellStart"/>
      <w:r w:rsidRPr="00AB3DFE">
        <w:t>Nurs</w:t>
      </w:r>
      <w:proofErr w:type="spellEnd"/>
      <w:r w:rsidRPr="00AB3DFE">
        <w:t xml:space="preserve"> Res. 2022. </w:t>
      </w:r>
      <w:proofErr w:type="gramStart"/>
      <w:r w:rsidRPr="00AB3DFE">
        <w:t>doi:</w:t>
      </w:r>
      <w:proofErr w:type="gramEnd"/>
      <w:r w:rsidRPr="00AB3DFE">
        <w:t xml:space="preserve">10.1177/01939459221144177. </w:t>
      </w:r>
    </w:p>
    <w:p w:rsidR="00AB3DFE" w:rsidRPr="00AB3DFE" w:rsidRDefault="00AB3DFE" w:rsidP="00B001CB">
      <w:pPr>
        <w:pStyle w:val="Body"/>
        <w:numPr>
          <w:ilvl w:val="0"/>
          <w:numId w:val="18"/>
        </w:numPr>
      </w:pPr>
      <w:r w:rsidRPr="00AB3DFE">
        <w:t xml:space="preserve">Tam H, Wong E, Cheung K. Effectiveness of educational interventions on adherence to lifestyle modifications among hypertensive patients: an integrative review. </w:t>
      </w:r>
      <w:proofErr w:type="spellStart"/>
      <w:r w:rsidRPr="00AB3DFE">
        <w:t>Int</w:t>
      </w:r>
      <w:proofErr w:type="spellEnd"/>
      <w:r w:rsidRPr="00AB3DFE">
        <w:t xml:space="preserve"> J Environ Res Public Health. 2020. </w:t>
      </w:r>
      <w:proofErr w:type="gramStart"/>
      <w:r w:rsidRPr="00AB3DFE">
        <w:t>doi:</w:t>
      </w:r>
      <w:proofErr w:type="gramEnd"/>
      <w:r w:rsidRPr="00AB3DFE">
        <w:t xml:space="preserve">10.3390/ijerph17072513. </w:t>
      </w:r>
    </w:p>
    <w:p w:rsidR="00AB3DFE" w:rsidRPr="00AB3DFE" w:rsidRDefault="00AB3DFE" w:rsidP="00B001CB">
      <w:pPr>
        <w:pStyle w:val="Body"/>
        <w:numPr>
          <w:ilvl w:val="0"/>
          <w:numId w:val="18"/>
        </w:numPr>
      </w:pPr>
      <w:r w:rsidRPr="00AB3DFE">
        <w:lastRenderedPageBreak/>
        <w:t>Valenzuela P, Carrera-</w:t>
      </w:r>
      <w:proofErr w:type="spellStart"/>
      <w:r w:rsidRPr="00AB3DFE">
        <w:t>Bastos</w:t>
      </w:r>
      <w:proofErr w:type="spellEnd"/>
      <w:r w:rsidRPr="00AB3DFE">
        <w:t xml:space="preserve"> P, Galvez B, Ruiz-Hurtado G, </w:t>
      </w:r>
      <w:proofErr w:type="spellStart"/>
      <w:r w:rsidRPr="00AB3DFE">
        <w:t>Ordovás</w:t>
      </w:r>
      <w:proofErr w:type="spellEnd"/>
      <w:r w:rsidRPr="00AB3DFE">
        <w:t xml:space="preserve"> JM, </w:t>
      </w:r>
      <w:proofErr w:type="spellStart"/>
      <w:r w:rsidRPr="00AB3DFE">
        <w:t>Ruilope</w:t>
      </w:r>
      <w:proofErr w:type="spellEnd"/>
      <w:r w:rsidRPr="00AB3DFE">
        <w:t xml:space="preserve"> LM, Lucia A. Lifestyle interventions for the prevention and treatment of hypertension. Nat Rev </w:t>
      </w:r>
      <w:proofErr w:type="spellStart"/>
      <w:r w:rsidRPr="00AB3DFE">
        <w:t>Cardiol</w:t>
      </w:r>
      <w:proofErr w:type="spellEnd"/>
      <w:r w:rsidRPr="00AB3DFE">
        <w:t xml:space="preserve">. 2020. </w:t>
      </w:r>
      <w:proofErr w:type="gramStart"/>
      <w:r w:rsidRPr="00AB3DFE">
        <w:t>doi:</w:t>
      </w:r>
      <w:proofErr w:type="gramEnd"/>
      <w:r w:rsidRPr="00AB3DFE">
        <w:t xml:space="preserve">10.1038/s41569-020-00437-9. </w:t>
      </w:r>
    </w:p>
    <w:p w:rsidR="00AB3DFE" w:rsidRPr="00AB3DFE" w:rsidRDefault="00AB3DFE" w:rsidP="00B001CB">
      <w:pPr>
        <w:pStyle w:val="Body"/>
        <w:numPr>
          <w:ilvl w:val="0"/>
          <w:numId w:val="18"/>
        </w:numPr>
      </w:pPr>
      <w:r w:rsidRPr="00AB3DFE">
        <w:t xml:space="preserve">Yang L, Zhang Z, Du CH, Tang L, Liu X. Risk factor control and adherence to recommended lifestyle among US hypertension patients. BMC Public Health. 2024. </w:t>
      </w:r>
      <w:proofErr w:type="gramStart"/>
      <w:r w:rsidRPr="00AB3DFE">
        <w:t>doi:</w:t>
      </w:r>
      <w:proofErr w:type="gramEnd"/>
      <w:r w:rsidRPr="00AB3DFE">
        <w:t xml:space="preserve">10.1186/s12889-024-20401-3. </w:t>
      </w:r>
    </w:p>
    <w:p w:rsidR="00AB3DFE" w:rsidRPr="00AB3DFE" w:rsidRDefault="00AB3DFE" w:rsidP="00AB3DFE">
      <w:pPr>
        <w:pStyle w:val="Body"/>
        <w:rPr>
          <w:rFonts w:cstheme="majorBidi"/>
          <w:color w:val="000000" w:themeColor="text1"/>
        </w:rPr>
      </w:pPr>
    </w:p>
    <w:p w:rsidR="00441E67" w:rsidRPr="004175AC" w:rsidRDefault="00441E67" w:rsidP="00AB3DFE">
      <w:pPr>
        <w:pStyle w:val="Body"/>
      </w:pPr>
    </w:p>
    <w:sectPr w:rsidR="00441E67" w:rsidRPr="004175AC" w:rsidSect="00D04D32">
      <w:headerReference w:type="default" r:id="rId10"/>
      <w:headerReference w:type="first" r:id="rId11"/>
      <w:footerReference w:type="first" r:id="rId12"/>
      <w:type w:val="continuous"/>
      <w:pgSz w:w="11907" w:h="16840" w:code="9"/>
      <w:pgMar w:top="1008" w:right="1440" w:bottom="1008" w:left="1440" w:header="576" w:footer="576" w:gutter="0"/>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CF3" w:rsidRDefault="00597CF3" w:rsidP="005146DA">
      <w:pPr>
        <w:spacing w:after="0" w:line="240" w:lineRule="auto"/>
      </w:pPr>
      <w:r>
        <w:separator/>
      </w:r>
    </w:p>
  </w:endnote>
  <w:endnote w:type="continuationSeparator" w:id="0">
    <w:p w:rsidR="00597CF3" w:rsidRDefault="00597CF3" w:rsidP="005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ntagenet Cherokee">
    <w:charset w:val="00"/>
    <w:family w:val="roman"/>
    <w:pitch w:val="variable"/>
    <w:sig w:usb0="00000003" w:usb1="00000000" w:usb2="00001000" w:usb3="00000000" w:csb0="0000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Minion Pro SmBd">
    <w:altName w:val="Cambria"/>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rlow">
    <w:altName w:val="Times New Roman"/>
    <w:charset w:val="00"/>
    <w:family w:val="auto"/>
    <w:pitch w:val="variable"/>
    <w:sig w:usb0="00000001"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Kermit Thin Expanded">
    <w:charset w:val="00"/>
    <w:family w:val="swiss"/>
    <w:pitch w:val="variable"/>
    <w:sig w:usb0="800002AF" w:usb1="5000204A" w:usb2="00000000" w:usb3="00000000" w:csb0="0000019F" w:csb1="00000000"/>
  </w:font>
  <w:font w:name="Khmer UI">
    <w:charset w:val="00"/>
    <w:family w:val="swiss"/>
    <w:pitch w:val="variable"/>
    <w:sig w:usb0="80000003" w:usb1="00000000" w:usb2="0001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7F" w:rsidRPr="00BC0607" w:rsidRDefault="00C6627F" w:rsidP="00C6627F">
    <w:pPr>
      <w:pBdr>
        <w:bottom w:val="single" w:sz="6" w:space="1" w:color="auto"/>
      </w:pBdr>
      <w:rPr>
        <w:rFonts w:ascii="Plantagenet Cherokee" w:hAnsi="Plantagenet Cherokee" w:cstheme="majorBidi"/>
        <w:sz w:val="8"/>
        <w:szCs w:val="8"/>
        <w:lang w:val="en-US"/>
      </w:rPr>
    </w:pPr>
  </w:p>
  <w:p w:rsidR="008F6C61" w:rsidRPr="008F6C61" w:rsidRDefault="008F6C61" w:rsidP="008F6C61">
    <w:pPr>
      <w:pStyle w:val="NoSpacing"/>
      <w:jc w:val="right"/>
      <w:rPr>
        <w:rFonts w:ascii="Plantagenet Cherokee" w:hAnsi="Plantagenet Cherokee"/>
        <w:color w:val="074F6A"/>
        <w:sz w:val="12"/>
        <w:szCs w:val="12"/>
        <w:lang w:val="en-US"/>
      </w:rPr>
    </w:pPr>
    <w:r w:rsidRPr="008F6C61">
      <w:rPr>
        <w:noProof/>
        <w:color w:val="074F6A"/>
        <w:lang w:val="en-US"/>
      </w:rPr>
      <w:drawing>
        <wp:anchor distT="0" distB="0" distL="114300" distR="114300" simplePos="0" relativeHeight="251658240" behindDoc="0" locked="0" layoutInCell="1" allowOverlap="1" wp14:anchorId="08A52D60" wp14:editId="09A01D2D">
          <wp:simplePos x="0" y="0"/>
          <wp:positionH relativeFrom="margin">
            <wp:align>left</wp:align>
          </wp:positionH>
          <wp:positionV relativeFrom="paragraph">
            <wp:posOffset>3175</wp:posOffset>
          </wp:positionV>
          <wp:extent cx="640143" cy="184049"/>
          <wp:effectExtent l="0" t="0" r="7620" b="6985"/>
          <wp:wrapNone/>
          <wp:docPr id="1289534719" name="Picture 1" descr="Link Medical Institut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4719" name="Picture 1" descr="Link Medical Institute logo">
                    <a:hlinkClick r:id="rId1"/>
                  </pic:cNvPr>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675685" cy="194268"/>
                  </a:xfrm>
                  <a:prstGeom prst="rect">
                    <a:avLst/>
                  </a:prstGeom>
                </pic:spPr>
              </pic:pic>
            </a:graphicData>
          </a:graphic>
          <wp14:sizeRelH relativeFrom="page">
            <wp14:pctWidth>0</wp14:pctWidth>
          </wp14:sizeRelH>
          <wp14:sizeRelV relativeFrom="page">
            <wp14:pctHeight>0</wp14:pctHeight>
          </wp14:sizeRelV>
        </wp:anchor>
      </w:drawing>
    </w:r>
    <w:r w:rsidRPr="008F6C61">
      <w:rPr>
        <w:rFonts w:ascii="Plantagenet Cherokee" w:hAnsi="Plantagenet Cherokee"/>
        <w:color w:val="074F6A"/>
        <w:sz w:val="12"/>
        <w:szCs w:val="12"/>
        <w:lang w:val="en-US"/>
      </w:rPr>
      <w:t>Journal of Health and Rehabilitation Research (JHRR)</w:t>
    </w:r>
    <w:r w:rsidR="0074006B">
      <w:rPr>
        <w:rFonts w:ascii="Plantagenet Cherokee" w:hAnsi="Plantagenet Cherokee"/>
        <w:color w:val="074F6A"/>
        <w:sz w:val="12"/>
        <w:szCs w:val="12"/>
        <w:lang w:val="en-US"/>
      </w:rPr>
      <w:t xml:space="preserve"> | </w:t>
    </w:r>
    <w:r w:rsidR="0074006B" w:rsidRPr="0074006B">
      <w:rPr>
        <w:rFonts w:ascii="Plantagenet Cherokee" w:hAnsi="Plantagenet Cherokee"/>
        <w:color w:val="074F6A"/>
        <w:sz w:val="12"/>
        <w:szCs w:val="12"/>
        <w:lang w:val="en-US"/>
      </w:rPr>
      <w:t xml:space="preserve">Volume </w:t>
    </w:r>
    <w:r w:rsidR="001D7633">
      <w:rPr>
        <w:rFonts w:ascii="Plantagenet Cherokee" w:hAnsi="Plantagenet Cherokee"/>
        <w:color w:val="074F6A"/>
        <w:sz w:val="12"/>
        <w:szCs w:val="12"/>
        <w:lang w:val="en-US"/>
      </w:rPr>
      <w:t>6</w:t>
    </w:r>
    <w:r w:rsidR="0074006B" w:rsidRPr="0074006B">
      <w:rPr>
        <w:rFonts w:ascii="Plantagenet Cherokee" w:hAnsi="Plantagenet Cherokee"/>
        <w:color w:val="074F6A"/>
        <w:sz w:val="12"/>
        <w:szCs w:val="12"/>
        <w:lang w:val="en-US"/>
      </w:rPr>
      <w:t xml:space="preserve">, Issue </w:t>
    </w:r>
    <w:r w:rsidR="00BB3BA0">
      <w:rPr>
        <w:rFonts w:ascii="Plantagenet Cherokee" w:hAnsi="Plantagenet Cherokee"/>
        <w:color w:val="074F6A"/>
        <w:sz w:val="12"/>
        <w:szCs w:val="12"/>
        <w:lang w:val="en-US"/>
      </w:rPr>
      <w:t>3</w:t>
    </w:r>
    <w:r w:rsidR="0074006B" w:rsidRPr="0074006B">
      <w:rPr>
        <w:rFonts w:ascii="Plantagenet Cherokee" w:hAnsi="Plantagenet Cherokee"/>
        <w:color w:val="074F6A"/>
        <w:sz w:val="12"/>
        <w:szCs w:val="12"/>
        <w:lang w:val="en-US"/>
      </w:rPr>
      <w:t xml:space="preserve">, </w:t>
    </w:r>
    <w:r w:rsidR="001D7633">
      <w:rPr>
        <w:rFonts w:ascii="Plantagenet Cherokee" w:hAnsi="Plantagenet Cherokee"/>
        <w:color w:val="074F6A"/>
        <w:sz w:val="12"/>
        <w:szCs w:val="12"/>
        <w:lang w:val="en-US"/>
      </w:rPr>
      <w:t>March 2026</w:t>
    </w:r>
  </w:p>
  <w:p w:rsidR="002816A1" w:rsidRPr="008F6C61" w:rsidRDefault="0031489C" w:rsidP="008F6C61">
    <w:pPr>
      <w:pStyle w:val="NoSpacing"/>
      <w:jc w:val="right"/>
      <w:rPr>
        <w:rFonts w:ascii="Plantagenet Cherokee" w:hAnsi="Plantagenet Cherokee"/>
        <w:color w:val="074F6A"/>
        <w:sz w:val="12"/>
        <w:szCs w:val="12"/>
        <w:lang w:val="en-US"/>
      </w:rPr>
    </w:pPr>
    <w:r w:rsidRPr="008F6C61">
      <w:rPr>
        <w:rFonts w:ascii="Plantagenet Cherokee" w:hAnsi="Plantagenet Cherokee"/>
        <w:color w:val="074F6A"/>
        <w:sz w:val="12"/>
        <w:szCs w:val="12"/>
        <w:lang w:val="en-US"/>
      </w:rPr>
      <w:t>ISSN 2791-156X | ©</w:t>
    </w:r>
    <w:r w:rsidR="0074006B">
      <w:rPr>
        <w:rFonts w:ascii="Plantagenet Cherokee" w:hAnsi="Plantagenet Cherokee"/>
        <w:color w:val="074F6A"/>
        <w:sz w:val="12"/>
        <w:szCs w:val="12"/>
        <w:lang w:val="en-US"/>
      </w:rPr>
      <w:t xml:space="preserve"> </w:t>
    </w:r>
    <w:r w:rsidRPr="008F6C61">
      <w:rPr>
        <w:rFonts w:ascii="Plantagenet Cherokee" w:hAnsi="Plantagenet Cherokee"/>
        <w:color w:val="074F6A"/>
        <w:sz w:val="12"/>
        <w:szCs w:val="12"/>
        <w:lang w:val="en-US"/>
      </w:rPr>
      <w:t>The Authors | 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CF3" w:rsidRDefault="00597CF3" w:rsidP="005146DA">
      <w:pPr>
        <w:spacing w:after="0" w:line="240" w:lineRule="auto"/>
      </w:pPr>
      <w:r>
        <w:separator/>
      </w:r>
    </w:p>
  </w:footnote>
  <w:footnote w:type="continuationSeparator" w:id="0">
    <w:p w:rsidR="00597CF3" w:rsidRDefault="00597CF3" w:rsidP="0051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lantagenet Cherokee" w:hAnsi="Plantagenet Cherokee" w:cstheme="majorBidi"/>
        <w:color w:val="074F6A"/>
        <w:vertAlign w:val="subscript"/>
      </w:rPr>
      <w:id w:val="1703678282"/>
      <w:docPartObj>
        <w:docPartGallery w:val="Page Numbers (Top of Page)"/>
        <w:docPartUnique/>
      </w:docPartObj>
    </w:sdtPr>
    <w:sdtEndPr>
      <w:rPr>
        <w:rStyle w:val="BodyChar"/>
        <w:sz w:val="20"/>
        <w:szCs w:val="18"/>
      </w:rPr>
    </w:sdtEndPr>
    <w:sdtContent>
      <w:p w:rsidR="0031489C" w:rsidRPr="008F6C61" w:rsidRDefault="0031489C" w:rsidP="0031489C">
        <w:pPr>
          <w:pStyle w:val="Header"/>
          <w:pBdr>
            <w:bottom w:val="single" w:sz="4" w:space="1" w:color="D9D9D9" w:themeColor="background1" w:themeShade="D9"/>
          </w:pBdr>
          <w:jc w:val="center"/>
          <w:rPr>
            <w:rStyle w:val="BodyChar"/>
            <w:rFonts w:cstheme="majorBidi"/>
            <w:color w:val="074F6A"/>
            <w:sz w:val="18"/>
            <w:vertAlign w:val="subscript"/>
          </w:rPr>
        </w:pPr>
        <w:r w:rsidRPr="008F6C61">
          <w:rPr>
            <w:rFonts w:ascii="Plantagenet Cherokee" w:hAnsi="Plantagenet Cherokee" w:cstheme="majorBidi"/>
            <w:color w:val="074F6A"/>
            <w:vertAlign w:val="subscript"/>
          </w:rPr>
          <w:t>J</w:t>
        </w:r>
        <w:r w:rsidRPr="008F6C61">
          <w:rPr>
            <w:rStyle w:val="BodyChar"/>
            <w:rFonts w:cstheme="majorBidi"/>
            <w:color w:val="074F6A"/>
            <w:sz w:val="18"/>
            <w:vertAlign w:val="subscript"/>
          </w:rPr>
          <w:t>HRR-</w:t>
        </w:r>
        <w:r w:rsidR="00B001CB">
          <w:rPr>
            <w:rStyle w:val="BodyChar"/>
            <w:rFonts w:cstheme="majorBidi"/>
            <w:color w:val="074F6A"/>
            <w:sz w:val="18"/>
            <w:vertAlign w:val="subscript"/>
          </w:rPr>
          <w:t>2008</w:t>
        </w:r>
        <w:r w:rsidRPr="008F6C61">
          <w:rPr>
            <w:rStyle w:val="BodyChar"/>
            <w:rFonts w:cstheme="majorBidi"/>
            <w:color w:val="074F6A"/>
            <w:sz w:val="18"/>
            <w:vertAlign w:val="subscript"/>
          </w:rPr>
          <w:t xml:space="preserve"> | </w:t>
        </w:r>
        <w:r w:rsidR="001D7633">
          <w:rPr>
            <w:rStyle w:val="BodyChar"/>
            <w:rFonts w:cstheme="majorBidi"/>
            <w:color w:val="074F6A"/>
            <w:sz w:val="18"/>
            <w:vertAlign w:val="subscript"/>
          </w:rPr>
          <w:t>2026</w:t>
        </w:r>
        <w:proofErr w:type="gramStart"/>
        <w:r w:rsidRPr="008F6C61">
          <w:rPr>
            <w:rStyle w:val="BodyChar"/>
            <w:rFonts w:cstheme="majorBidi"/>
            <w:color w:val="074F6A"/>
            <w:sz w:val="18"/>
            <w:vertAlign w:val="subscript"/>
          </w:rPr>
          <w:t>;</w:t>
        </w:r>
        <w:r w:rsidR="001D7633">
          <w:rPr>
            <w:rStyle w:val="BodyChar"/>
            <w:rFonts w:cstheme="majorBidi"/>
            <w:color w:val="074F6A"/>
            <w:sz w:val="18"/>
            <w:vertAlign w:val="subscript"/>
          </w:rPr>
          <w:t>6</w:t>
        </w:r>
        <w:proofErr w:type="gramEnd"/>
        <w:r w:rsidRPr="008F6C61">
          <w:rPr>
            <w:rStyle w:val="BodyChar"/>
            <w:rFonts w:cstheme="majorBidi"/>
            <w:color w:val="074F6A"/>
            <w:sz w:val="18"/>
            <w:vertAlign w:val="subscript"/>
          </w:rPr>
          <w:t>(</w:t>
        </w:r>
        <w:r w:rsidR="00BB3BA0">
          <w:rPr>
            <w:rStyle w:val="BodyChar"/>
            <w:rFonts w:cstheme="majorBidi"/>
            <w:color w:val="074F6A"/>
            <w:sz w:val="18"/>
            <w:vertAlign w:val="subscript"/>
          </w:rPr>
          <w:t>3</w:t>
        </w:r>
        <w:r w:rsidRPr="008F6C61">
          <w:rPr>
            <w:rStyle w:val="BodyChar"/>
            <w:rFonts w:cstheme="majorBidi"/>
            <w:color w:val="074F6A"/>
            <w:sz w:val="18"/>
            <w:vertAlign w:val="subscript"/>
          </w:rPr>
          <w:t xml:space="preserve">) | ISSN 2791-156X | © </w:t>
        </w:r>
        <w:r w:rsidR="001D7633">
          <w:rPr>
            <w:rStyle w:val="BodyChar"/>
            <w:rFonts w:cstheme="majorBidi"/>
            <w:color w:val="074F6A"/>
            <w:sz w:val="18"/>
            <w:vertAlign w:val="subscript"/>
          </w:rPr>
          <w:t xml:space="preserve">2026 </w:t>
        </w:r>
        <w:r w:rsidRPr="008F6C61">
          <w:rPr>
            <w:rStyle w:val="BodyChar"/>
            <w:rFonts w:cstheme="majorBidi"/>
            <w:color w:val="074F6A"/>
            <w:sz w:val="18"/>
            <w:vertAlign w:val="subscript"/>
          </w:rPr>
          <w:t xml:space="preserve">The Authors | CC BY 4.0 | Page </w:t>
        </w:r>
        <w:r w:rsidRPr="008F6C61">
          <w:rPr>
            <w:rStyle w:val="BodyChar"/>
            <w:rFonts w:cstheme="majorBidi"/>
            <w:color w:val="074F6A"/>
            <w:sz w:val="18"/>
            <w:vertAlign w:val="subscript"/>
          </w:rPr>
          <w:fldChar w:fldCharType="begin"/>
        </w:r>
        <w:r w:rsidRPr="008F6C61">
          <w:rPr>
            <w:rStyle w:val="BodyChar"/>
            <w:rFonts w:cstheme="majorBidi"/>
            <w:color w:val="074F6A"/>
            <w:sz w:val="18"/>
            <w:vertAlign w:val="subscript"/>
          </w:rPr>
          <w:instrText xml:space="preserve"> PAGE   \* MERGEFORMAT </w:instrText>
        </w:r>
        <w:r w:rsidRPr="008F6C61">
          <w:rPr>
            <w:rStyle w:val="BodyChar"/>
            <w:rFonts w:cstheme="majorBidi"/>
            <w:color w:val="074F6A"/>
            <w:sz w:val="18"/>
            <w:vertAlign w:val="subscript"/>
          </w:rPr>
          <w:fldChar w:fldCharType="separate"/>
        </w:r>
        <w:r w:rsidR="00B001CB" w:rsidRPr="00B001CB">
          <w:rPr>
            <w:rStyle w:val="BodyChar"/>
            <w:rFonts w:cstheme="majorBidi"/>
            <w:noProof/>
            <w:color w:val="074F6A"/>
            <w:vertAlign w:val="subscript"/>
          </w:rPr>
          <w:t>9</w:t>
        </w:r>
        <w:r w:rsidRPr="008F6C61">
          <w:rPr>
            <w:rStyle w:val="BodyChar"/>
            <w:rFonts w:cstheme="majorBidi"/>
            <w:color w:val="074F6A"/>
            <w:sz w:val="18"/>
            <w:vertAlign w:val="subscript"/>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9B" w:rsidRDefault="0074006B" w:rsidP="0074006B">
    <w:pPr>
      <w:pStyle w:val="NoSpacing"/>
      <w:tabs>
        <w:tab w:val="left" w:pos="220"/>
      </w:tabs>
      <w:rPr>
        <w:rFonts w:ascii="Plantagenet Cherokee" w:hAnsi="Plantagenet Cherokee"/>
      </w:rPr>
    </w:pPr>
    <w:r w:rsidRPr="00FB11F4">
      <w:rPr>
        <w:rFonts w:ascii="Plantagenet Cherokee" w:hAnsi="Plantagenet Cherokee"/>
        <w:noProof/>
        <w:sz w:val="14"/>
        <w:szCs w:val="14"/>
        <w:lang w:val="en-US"/>
      </w:rPr>
      <w:drawing>
        <wp:inline distT="0" distB="0" distL="0" distR="0" wp14:anchorId="5B611DF3" wp14:editId="22964501">
          <wp:extent cx="1024890" cy="196215"/>
          <wp:effectExtent l="0" t="0" r="3810" b="0"/>
          <wp:docPr id="2066777760" name="Graphic 1" descr="Journal of Health and Rehabilitation Research (JHRR)&#10;ISSN (Electronic): 2791-156X Publisher: Link Medical Interface (Private) Limited Publication Frequency: Monthly&#10;&#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7760" name="Graphic 1" descr="Journal of Health and Rehabilitation Research (JHRR)&#10;ISSN (Electronic): 2791-156X Publisher: Link Medical Interface (Private) Limited Publication Frequency: Monthly&#10;&#10;">
                    <a:hlinkClick r:id="rId1"/>
                  </pic:cNvPr>
                  <pic:cNvPicPr/>
                </pic:nvPicPr>
                <pic:blipFill rotWithShape="1">
                  <a:blip r:embed="rId2">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rcRect t="24584" r="6553" b="27951"/>
                  <a:stretch>
                    <a:fillRect/>
                  </a:stretch>
                </pic:blipFill>
                <pic:spPr bwMode="auto">
                  <a:xfrm>
                    <a:off x="0" y="0"/>
                    <a:ext cx="1024890" cy="196215"/>
                  </a:xfrm>
                  <a:prstGeom prst="rect">
                    <a:avLst/>
                  </a:prstGeom>
                  <a:ln>
                    <a:noFill/>
                  </a:ln>
                  <a:extLst>
                    <a:ext uri="{53640926-AAD7-44D8-BBD7-CCE9431645EC}">
                      <a14:shadowObscured xmlns:a14="http://schemas.microsoft.com/office/drawing/2010/main"/>
                    </a:ext>
                  </a:extLst>
                </pic:spPr>
              </pic:pic>
            </a:graphicData>
          </a:graphic>
        </wp:inline>
      </w:drawing>
    </w:r>
    <w:r w:rsidR="00861E9B">
      <w:rPr>
        <w:rFonts w:ascii="Plantagenet Cherokee" w:hAnsi="Plantagenet Cherokee"/>
      </w:rPr>
      <w:tab/>
    </w:r>
  </w:p>
  <w:p w:rsidR="00861E9B" w:rsidRPr="0074006B" w:rsidRDefault="00861E9B" w:rsidP="0074006B">
    <w:pPr>
      <w:pStyle w:val="NoSpacing"/>
      <w:tabs>
        <w:tab w:val="left" w:pos="220"/>
      </w:tabs>
      <w:jc w:val="right"/>
      <w:rPr>
        <w:rFonts w:ascii="Plantagenet Cherokee" w:hAnsi="Plantagenet Cherokee"/>
        <w:color w:val="0B769F" w:themeColor="accent4" w:themeShade="BF"/>
        <w:sz w:val="14"/>
        <w:szCs w:val="14"/>
      </w:rPr>
    </w:pPr>
    <w:r w:rsidRPr="0074006B">
      <w:rPr>
        <w:rFonts w:ascii="Plantagenet Cherokee" w:hAnsi="Plantagenet Cherokee"/>
        <w:color w:val="0B769F" w:themeColor="accent4" w:themeShade="BF"/>
        <w:sz w:val="14"/>
        <w:szCs w:val="14"/>
      </w:rPr>
      <w:t>https://doi.org/</w:t>
    </w:r>
    <w:r w:rsidR="00B001CB" w:rsidRPr="00B001CB">
      <w:rPr>
        <w:rFonts w:ascii="Plantagenet Cherokee" w:hAnsi="Plantagenet Cherokee"/>
        <w:color w:val="0B769F" w:themeColor="accent4" w:themeShade="BF"/>
        <w:sz w:val="14"/>
        <w:szCs w:val="14"/>
      </w:rPr>
      <w:t>10.61919/jhrr.v6i5.2008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5FE6"/>
    <w:multiLevelType w:val="hybridMultilevel"/>
    <w:tmpl w:val="6AF0E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B72CD5"/>
    <w:multiLevelType w:val="multilevel"/>
    <w:tmpl w:val="372E2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F17909"/>
    <w:multiLevelType w:val="multilevel"/>
    <w:tmpl w:val="30A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45447"/>
    <w:multiLevelType w:val="multilevel"/>
    <w:tmpl w:val="F89A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842797"/>
    <w:multiLevelType w:val="multilevel"/>
    <w:tmpl w:val="F57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667A1D"/>
    <w:multiLevelType w:val="multilevel"/>
    <w:tmpl w:val="D7B2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E435F4"/>
    <w:multiLevelType w:val="hybridMultilevel"/>
    <w:tmpl w:val="15780F6C"/>
    <w:lvl w:ilvl="0" w:tplc="DEC0253E">
      <w:start w:val="1"/>
      <w:numFmt w:val="decimal"/>
      <w:lvlText w:val="%1"/>
      <w:lvlJc w:val="left"/>
      <w:pPr>
        <w:ind w:left="3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20" w:hanging="360"/>
      </w:pPr>
    </w:lvl>
    <w:lvl w:ilvl="4" w:tplc="04090019" w:tentative="1">
      <w:start w:val="1"/>
      <w:numFmt w:val="lowerLetter"/>
      <w:lvlText w:val="%5."/>
      <w:lvlJc w:val="left"/>
      <w:pPr>
        <w:ind w:left="600" w:hanging="360"/>
      </w:pPr>
    </w:lvl>
    <w:lvl w:ilvl="5" w:tplc="0409001B" w:tentative="1">
      <w:start w:val="1"/>
      <w:numFmt w:val="lowerRoman"/>
      <w:lvlText w:val="%6."/>
      <w:lvlJc w:val="right"/>
      <w:pPr>
        <w:ind w:left="1320" w:hanging="180"/>
      </w:pPr>
    </w:lvl>
    <w:lvl w:ilvl="6" w:tplc="0409000F" w:tentative="1">
      <w:start w:val="1"/>
      <w:numFmt w:val="decimal"/>
      <w:lvlText w:val="%7."/>
      <w:lvlJc w:val="left"/>
      <w:pPr>
        <w:ind w:left="2040" w:hanging="360"/>
      </w:pPr>
    </w:lvl>
    <w:lvl w:ilvl="7" w:tplc="04090019" w:tentative="1">
      <w:start w:val="1"/>
      <w:numFmt w:val="lowerLetter"/>
      <w:lvlText w:val="%8."/>
      <w:lvlJc w:val="left"/>
      <w:pPr>
        <w:ind w:left="2760" w:hanging="360"/>
      </w:pPr>
    </w:lvl>
    <w:lvl w:ilvl="8" w:tplc="0409001B" w:tentative="1">
      <w:start w:val="1"/>
      <w:numFmt w:val="lowerRoman"/>
      <w:lvlText w:val="%9."/>
      <w:lvlJc w:val="right"/>
      <w:pPr>
        <w:ind w:left="3480" w:hanging="180"/>
      </w:pPr>
    </w:lvl>
  </w:abstractNum>
  <w:abstractNum w:abstractNumId="7">
    <w:nsid w:val="42CC4EA7"/>
    <w:multiLevelType w:val="hybridMultilevel"/>
    <w:tmpl w:val="5016F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CB5351"/>
    <w:multiLevelType w:val="hybridMultilevel"/>
    <w:tmpl w:val="009A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511D4"/>
    <w:multiLevelType w:val="hybridMultilevel"/>
    <w:tmpl w:val="6D502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6F35870"/>
    <w:multiLevelType w:val="multilevel"/>
    <w:tmpl w:val="04B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3B555F"/>
    <w:multiLevelType w:val="hybridMultilevel"/>
    <w:tmpl w:val="D086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61268"/>
    <w:multiLevelType w:val="hybridMultilevel"/>
    <w:tmpl w:val="8A624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7A30711"/>
    <w:multiLevelType w:val="multilevel"/>
    <w:tmpl w:val="6D5A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175FCC"/>
    <w:multiLevelType w:val="hybridMultilevel"/>
    <w:tmpl w:val="C93EF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87F7E9B"/>
    <w:multiLevelType w:val="hybridMultilevel"/>
    <w:tmpl w:val="D7B2490A"/>
    <w:lvl w:ilvl="0" w:tplc="990E1FC0">
      <w:start w:val="1"/>
      <w:numFmt w:val="decimal"/>
      <w:pStyle w:val="References"/>
      <w:lvlText w:val="%1"/>
      <w:lvlJc w:val="left"/>
      <w:pPr>
        <w:ind w:left="360" w:hanging="360"/>
      </w:pPr>
      <w:rPr>
        <w:rFonts w:ascii="Aptos" w:hAnsi="Aptos"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AC6842"/>
    <w:multiLevelType w:val="hybridMultilevel"/>
    <w:tmpl w:val="E8B2A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B54CD0"/>
    <w:multiLevelType w:val="hybridMultilevel"/>
    <w:tmpl w:val="FF28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8"/>
  </w:num>
  <w:num w:numId="4">
    <w:abstractNumId w:val="13"/>
  </w:num>
  <w:num w:numId="5">
    <w:abstractNumId w:val="14"/>
  </w:num>
  <w:num w:numId="6">
    <w:abstractNumId w:val="4"/>
  </w:num>
  <w:num w:numId="7">
    <w:abstractNumId w:val="16"/>
  </w:num>
  <w:num w:numId="8">
    <w:abstractNumId w:val="10"/>
  </w:num>
  <w:num w:numId="9">
    <w:abstractNumId w:val="2"/>
  </w:num>
  <w:num w:numId="10">
    <w:abstractNumId w:val="12"/>
  </w:num>
  <w:num w:numId="11">
    <w:abstractNumId w:val="3"/>
  </w:num>
  <w:num w:numId="12">
    <w:abstractNumId w:val="0"/>
  </w:num>
  <w:num w:numId="13">
    <w:abstractNumId w:val="5"/>
  </w:num>
  <w:num w:numId="14">
    <w:abstractNumId w:val="9"/>
  </w:num>
  <w:num w:numId="15">
    <w:abstractNumId w:val="17"/>
  </w:num>
  <w:num w:numId="16">
    <w:abstractNumId w:val="11"/>
  </w:num>
  <w:num w:numId="17">
    <w:abstractNumId w:val="1"/>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144"/>
  <w:drawingGridHorizontalSpacing w:val="144"/>
  <w:drawingGridVerticalSpacing w:val="144"/>
  <w:characterSpacingControl w:val="doNotCompress"/>
  <w:hdrShapeDefaults>
    <o:shapedefaults v:ext="edit" spidmax="2049">
      <o:colormru v:ext="edit" colors="#eee,#f5f5f5,#f9f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FE"/>
    <w:rsid w:val="000043F0"/>
    <w:rsid w:val="00004CC0"/>
    <w:rsid w:val="000061B5"/>
    <w:rsid w:val="0000693F"/>
    <w:rsid w:val="000078EA"/>
    <w:rsid w:val="000100BB"/>
    <w:rsid w:val="00012950"/>
    <w:rsid w:val="00012F54"/>
    <w:rsid w:val="000139DB"/>
    <w:rsid w:val="000148AB"/>
    <w:rsid w:val="00015BB5"/>
    <w:rsid w:val="0001648C"/>
    <w:rsid w:val="000166C1"/>
    <w:rsid w:val="00017948"/>
    <w:rsid w:val="00022307"/>
    <w:rsid w:val="000227F6"/>
    <w:rsid w:val="000247CA"/>
    <w:rsid w:val="00026CEF"/>
    <w:rsid w:val="0002734B"/>
    <w:rsid w:val="000321D9"/>
    <w:rsid w:val="0003240D"/>
    <w:rsid w:val="0003560D"/>
    <w:rsid w:val="0003581C"/>
    <w:rsid w:val="00036B89"/>
    <w:rsid w:val="00037203"/>
    <w:rsid w:val="000379B3"/>
    <w:rsid w:val="00041643"/>
    <w:rsid w:val="00041BBF"/>
    <w:rsid w:val="00041F12"/>
    <w:rsid w:val="00041F21"/>
    <w:rsid w:val="0004408C"/>
    <w:rsid w:val="00044BB6"/>
    <w:rsid w:val="00044C73"/>
    <w:rsid w:val="000461A7"/>
    <w:rsid w:val="00046C28"/>
    <w:rsid w:val="00046C7C"/>
    <w:rsid w:val="0004774C"/>
    <w:rsid w:val="00051F5C"/>
    <w:rsid w:val="000529A5"/>
    <w:rsid w:val="00053EFB"/>
    <w:rsid w:val="00055152"/>
    <w:rsid w:val="000566F8"/>
    <w:rsid w:val="00057EC7"/>
    <w:rsid w:val="00061461"/>
    <w:rsid w:val="0006178B"/>
    <w:rsid w:val="00063B00"/>
    <w:rsid w:val="0006433A"/>
    <w:rsid w:val="000645AC"/>
    <w:rsid w:val="0006672E"/>
    <w:rsid w:val="00066DE0"/>
    <w:rsid w:val="00075179"/>
    <w:rsid w:val="00077792"/>
    <w:rsid w:val="000820A1"/>
    <w:rsid w:val="00083257"/>
    <w:rsid w:val="00085E1C"/>
    <w:rsid w:val="00091AFC"/>
    <w:rsid w:val="00091F6A"/>
    <w:rsid w:val="000920D3"/>
    <w:rsid w:val="00092733"/>
    <w:rsid w:val="00092816"/>
    <w:rsid w:val="00092B1C"/>
    <w:rsid w:val="0009358D"/>
    <w:rsid w:val="00093E42"/>
    <w:rsid w:val="00094074"/>
    <w:rsid w:val="0009526A"/>
    <w:rsid w:val="00095B50"/>
    <w:rsid w:val="00096AB8"/>
    <w:rsid w:val="00097307"/>
    <w:rsid w:val="000A031C"/>
    <w:rsid w:val="000A1372"/>
    <w:rsid w:val="000A1CE1"/>
    <w:rsid w:val="000A201E"/>
    <w:rsid w:val="000A65A1"/>
    <w:rsid w:val="000A7A88"/>
    <w:rsid w:val="000B07E9"/>
    <w:rsid w:val="000B1B2C"/>
    <w:rsid w:val="000B408C"/>
    <w:rsid w:val="000B411A"/>
    <w:rsid w:val="000C202C"/>
    <w:rsid w:val="000C576E"/>
    <w:rsid w:val="000C5CF2"/>
    <w:rsid w:val="000C60BF"/>
    <w:rsid w:val="000C64C1"/>
    <w:rsid w:val="000C7E54"/>
    <w:rsid w:val="000D00DD"/>
    <w:rsid w:val="000D09FA"/>
    <w:rsid w:val="000D0FE6"/>
    <w:rsid w:val="000D32CA"/>
    <w:rsid w:val="000D3327"/>
    <w:rsid w:val="000D3952"/>
    <w:rsid w:val="000D3C08"/>
    <w:rsid w:val="000D3D22"/>
    <w:rsid w:val="000D3D71"/>
    <w:rsid w:val="000D61EE"/>
    <w:rsid w:val="000D62A3"/>
    <w:rsid w:val="000D63DB"/>
    <w:rsid w:val="000D7465"/>
    <w:rsid w:val="000E0E33"/>
    <w:rsid w:val="000E2EEF"/>
    <w:rsid w:val="000E656D"/>
    <w:rsid w:val="000F29F9"/>
    <w:rsid w:val="000F48C0"/>
    <w:rsid w:val="000F66A6"/>
    <w:rsid w:val="000F7F02"/>
    <w:rsid w:val="0010117A"/>
    <w:rsid w:val="00101454"/>
    <w:rsid w:val="00101CFD"/>
    <w:rsid w:val="00102CFA"/>
    <w:rsid w:val="00103294"/>
    <w:rsid w:val="00106239"/>
    <w:rsid w:val="001068B7"/>
    <w:rsid w:val="00107BA8"/>
    <w:rsid w:val="00110658"/>
    <w:rsid w:val="00110E72"/>
    <w:rsid w:val="001119D7"/>
    <w:rsid w:val="00112E6F"/>
    <w:rsid w:val="001131F8"/>
    <w:rsid w:val="00113B11"/>
    <w:rsid w:val="00113E50"/>
    <w:rsid w:val="0011409D"/>
    <w:rsid w:val="00114A92"/>
    <w:rsid w:val="00115B7A"/>
    <w:rsid w:val="00115EDF"/>
    <w:rsid w:val="00116404"/>
    <w:rsid w:val="00120480"/>
    <w:rsid w:val="00122FCB"/>
    <w:rsid w:val="001236CA"/>
    <w:rsid w:val="00130F18"/>
    <w:rsid w:val="001315E7"/>
    <w:rsid w:val="001322A0"/>
    <w:rsid w:val="0013322A"/>
    <w:rsid w:val="00135169"/>
    <w:rsid w:val="001374B4"/>
    <w:rsid w:val="001408A6"/>
    <w:rsid w:val="00140F5E"/>
    <w:rsid w:val="00142502"/>
    <w:rsid w:val="00142BE6"/>
    <w:rsid w:val="001475C8"/>
    <w:rsid w:val="001503AD"/>
    <w:rsid w:val="00152188"/>
    <w:rsid w:val="00152475"/>
    <w:rsid w:val="001530DB"/>
    <w:rsid w:val="00153B19"/>
    <w:rsid w:val="00155518"/>
    <w:rsid w:val="00155642"/>
    <w:rsid w:val="001561FA"/>
    <w:rsid w:val="00160234"/>
    <w:rsid w:val="0016033E"/>
    <w:rsid w:val="00160937"/>
    <w:rsid w:val="00161CCE"/>
    <w:rsid w:val="00165671"/>
    <w:rsid w:val="001677CE"/>
    <w:rsid w:val="0017042B"/>
    <w:rsid w:val="00171987"/>
    <w:rsid w:val="001759FB"/>
    <w:rsid w:val="00175A60"/>
    <w:rsid w:val="0017794D"/>
    <w:rsid w:val="001801C6"/>
    <w:rsid w:val="00180EF1"/>
    <w:rsid w:val="001835E8"/>
    <w:rsid w:val="00183633"/>
    <w:rsid w:val="00183C59"/>
    <w:rsid w:val="001842C8"/>
    <w:rsid w:val="001854B4"/>
    <w:rsid w:val="001907DF"/>
    <w:rsid w:val="00190B1E"/>
    <w:rsid w:val="00191AB1"/>
    <w:rsid w:val="00192B07"/>
    <w:rsid w:val="001934BD"/>
    <w:rsid w:val="00195166"/>
    <w:rsid w:val="001958E7"/>
    <w:rsid w:val="00195B04"/>
    <w:rsid w:val="00197895"/>
    <w:rsid w:val="001A1BC5"/>
    <w:rsid w:val="001A2B9E"/>
    <w:rsid w:val="001A35E8"/>
    <w:rsid w:val="001A4451"/>
    <w:rsid w:val="001A48AE"/>
    <w:rsid w:val="001A5A24"/>
    <w:rsid w:val="001A5C6F"/>
    <w:rsid w:val="001A662D"/>
    <w:rsid w:val="001A713C"/>
    <w:rsid w:val="001B1308"/>
    <w:rsid w:val="001B47E3"/>
    <w:rsid w:val="001B536B"/>
    <w:rsid w:val="001C0ABC"/>
    <w:rsid w:val="001C1962"/>
    <w:rsid w:val="001C2CD4"/>
    <w:rsid w:val="001C2E01"/>
    <w:rsid w:val="001C4806"/>
    <w:rsid w:val="001C5878"/>
    <w:rsid w:val="001C749C"/>
    <w:rsid w:val="001C7626"/>
    <w:rsid w:val="001C7FCC"/>
    <w:rsid w:val="001D08CB"/>
    <w:rsid w:val="001D0CAC"/>
    <w:rsid w:val="001D12F0"/>
    <w:rsid w:val="001D175C"/>
    <w:rsid w:val="001D1E7D"/>
    <w:rsid w:val="001D2E75"/>
    <w:rsid w:val="001D406B"/>
    <w:rsid w:val="001D4DA3"/>
    <w:rsid w:val="001D5C62"/>
    <w:rsid w:val="001D7633"/>
    <w:rsid w:val="001D7E59"/>
    <w:rsid w:val="001E1318"/>
    <w:rsid w:val="001E794B"/>
    <w:rsid w:val="001F044C"/>
    <w:rsid w:val="001F1BDB"/>
    <w:rsid w:val="001F1EC5"/>
    <w:rsid w:val="001F4423"/>
    <w:rsid w:val="001F59D2"/>
    <w:rsid w:val="001F5F30"/>
    <w:rsid w:val="001F7403"/>
    <w:rsid w:val="00201146"/>
    <w:rsid w:val="00202799"/>
    <w:rsid w:val="002033FB"/>
    <w:rsid w:val="002038D4"/>
    <w:rsid w:val="0020529B"/>
    <w:rsid w:val="00206FD7"/>
    <w:rsid w:val="00211CB2"/>
    <w:rsid w:val="00212B7E"/>
    <w:rsid w:val="00212FAD"/>
    <w:rsid w:val="00213A2A"/>
    <w:rsid w:val="0022313E"/>
    <w:rsid w:val="0022392C"/>
    <w:rsid w:val="002249DB"/>
    <w:rsid w:val="00227BED"/>
    <w:rsid w:val="002313BC"/>
    <w:rsid w:val="00231F85"/>
    <w:rsid w:val="0023234A"/>
    <w:rsid w:val="00234923"/>
    <w:rsid w:val="00236369"/>
    <w:rsid w:val="00237C3E"/>
    <w:rsid w:val="00240ACD"/>
    <w:rsid w:val="002411BB"/>
    <w:rsid w:val="002411EA"/>
    <w:rsid w:val="00242689"/>
    <w:rsid w:val="00244591"/>
    <w:rsid w:val="00246D74"/>
    <w:rsid w:val="00247F76"/>
    <w:rsid w:val="00250B28"/>
    <w:rsid w:val="00251A85"/>
    <w:rsid w:val="0025388D"/>
    <w:rsid w:val="00256D38"/>
    <w:rsid w:val="00261E5E"/>
    <w:rsid w:val="002645A1"/>
    <w:rsid w:val="00265A16"/>
    <w:rsid w:val="00266C23"/>
    <w:rsid w:val="00266EA3"/>
    <w:rsid w:val="00267569"/>
    <w:rsid w:val="00270061"/>
    <w:rsid w:val="00271C1E"/>
    <w:rsid w:val="00275274"/>
    <w:rsid w:val="00277397"/>
    <w:rsid w:val="00277756"/>
    <w:rsid w:val="002802F9"/>
    <w:rsid w:val="002816A1"/>
    <w:rsid w:val="00281D2E"/>
    <w:rsid w:val="00285461"/>
    <w:rsid w:val="0029007D"/>
    <w:rsid w:val="00291322"/>
    <w:rsid w:val="00291B86"/>
    <w:rsid w:val="00292106"/>
    <w:rsid w:val="00293152"/>
    <w:rsid w:val="00293D9C"/>
    <w:rsid w:val="002A1111"/>
    <w:rsid w:val="002A1FE3"/>
    <w:rsid w:val="002A386B"/>
    <w:rsid w:val="002A3B8E"/>
    <w:rsid w:val="002B12F8"/>
    <w:rsid w:val="002B17C5"/>
    <w:rsid w:val="002B21E4"/>
    <w:rsid w:val="002B32B9"/>
    <w:rsid w:val="002B444C"/>
    <w:rsid w:val="002B464D"/>
    <w:rsid w:val="002B4D0B"/>
    <w:rsid w:val="002C35DA"/>
    <w:rsid w:val="002C3902"/>
    <w:rsid w:val="002C3C36"/>
    <w:rsid w:val="002C72A5"/>
    <w:rsid w:val="002D1821"/>
    <w:rsid w:val="002D1E63"/>
    <w:rsid w:val="002D205F"/>
    <w:rsid w:val="002D2DF2"/>
    <w:rsid w:val="002D5782"/>
    <w:rsid w:val="002D5DB5"/>
    <w:rsid w:val="002D6FC1"/>
    <w:rsid w:val="002E151A"/>
    <w:rsid w:val="002E1DC4"/>
    <w:rsid w:val="002E1FF7"/>
    <w:rsid w:val="002E3349"/>
    <w:rsid w:val="002E3C00"/>
    <w:rsid w:val="002E74FE"/>
    <w:rsid w:val="002E7ED9"/>
    <w:rsid w:val="002F1CD9"/>
    <w:rsid w:val="002F2F9B"/>
    <w:rsid w:val="002F46AB"/>
    <w:rsid w:val="00301F8E"/>
    <w:rsid w:val="00304212"/>
    <w:rsid w:val="00304A06"/>
    <w:rsid w:val="00304AC7"/>
    <w:rsid w:val="003068E1"/>
    <w:rsid w:val="00307FDF"/>
    <w:rsid w:val="0031067C"/>
    <w:rsid w:val="0031489C"/>
    <w:rsid w:val="00314FBF"/>
    <w:rsid w:val="00317469"/>
    <w:rsid w:val="003176A3"/>
    <w:rsid w:val="00317C19"/>
    <w:rsid w:val="0032044C"/>
    <w:rsid w:val="00320DBD"/>
    <w:rsid w:val="00322584"/>
    <w:rsid w:val="00322829"/>
    <w:rsid w:val="00322915"/>
    <w:rsid w:val="0032553C"/>
    <w:rsid w:val="00325BC4"/>
    <w:rsid w:val="0032610F"/>
    <w:rsid w:val="00327C8C"/>
    <w:rsid w:val="00330E69"/>
    <w:rsid w:val="003323F7"/>
    <w:rsid w:val="0033354D"/>
    <w:rsid w:val="00334B4D"/>
    <w:rsid w:val="00335DDB"/>
    <w:rsid w:val="0033686D"/>
    <w:rsid w:val="00341065"/>
    <w:rsid w:val="003414CF"/>
    <w:rsid w:val="00344766"/>
    <w:rsid w:val="0034599F"/>
    <w:rsid w:val="00354733"/>
    <w:rsid w:val="003558D8"/>
    <w:rsid w:val="00355D58"/>
    <w:rsid w:val="003562FE"/>
    <w:rsid w:val="00356445"/>
    <w:rsid w:val="0036033B"/>
    <w:rsid w:val="00362A01"/>
    <w:rsid w:val="00365502"/>
    <w:rsid w:val="00366B00"/>
    <w:rsid w:val="003675B2"/>
    <w:rsid w:val="003719D0"/>
    <w:rsid w:val="00371F8D"/>
    <w:rsid w:val="00372011"/>
    <w:rsid w:val="0037286E"/>
    <w:rsid w:val="00373914"/>
    <w:rsid w:val="00374162"/>
    <w:rsid w:val="00374360"/>
    <w:rsid w:val="00382954"/>
    <w:rsid w:val="00382A00"/>
    <w:rsid w:val="00382BD4"/>
    <w:rsid w:val="00382FDD"/>
    <w:rsid w:val="00384503"/>
    <w:rsid w:val="00386C27"/>
    <w:rsid w:val="003879AF"/>
    <w:rsid w:val="00390462"/>
    <w:rsid w:val="00391441"/>
    <w:rsid w:val="00393576"/>
    <w:rsid w:val="00393E8E"/>
    <w:rsid w:val="00396AD3"/>
    <w:rsid w:val="00397890"/>
    <w:rsid w:val="00397EAC"/>
    <w:rsid w:val="003A1C9F"/>
    <w:rsid w:val="003A21E3"/>
    <w:rsid w:val="003A33C8"/>
    <w:rsid w:val="003A42FC"/>
    <w:rsid w:val="003A48A8"/>
    <w:rsid w:val="003A49E8"/>
    <w:rsid w:val="003A5112"/>
    <w:rsid w:val="003A6F94"/>
    <w:rsid w:val="003A70C5"/>
    <w:rsid w:val="003B07FC"/>
    <w:rsid w:val="003B1191"/>
    <w:rsid w:val="003B2272"/>
    <w:rsid w:val="003B3BE0"/>
    <w:rsid w:val="003B4944"/>
    <w:rsid w:val="003C408A"/>
    <w:rsid w:val="003C5346"/>
    <w:rsid w:val="003C5B39"/>
    <w:rsid w:val="003C5DCF"/>
    <w:rsid w:val="003C612A"/>
    <w:rsid w:val="003C6A2E"/>
    <w:rsid w:val="003C74AB"/>
    <w:rsid w:val="003D01E3"/>
    <w:rsid w:val="003D0CD2"/>
    <w:rsid w:val="003D1429"/>
    <w:rsid w:val="003D16D1"/>
    <w:rsid w:val="003D2729"/>
    <w:rsid w:val="003D287D"/>
    <w:rsid w:val="003D5E8B"/>
    <w:rsid w:val="003E0447"/>
    <w:rsid w:val="003E2CD6"/>
    <w:rsid w:val="003E38FB"/>
    <w:rsid w:val="003E3958"/>
    <w:rsid w:val="003E73E1"/>
    <w:rsid w:val="003E7B34"/>
    <w:rsid w:val="003F003B"/>
    <w:rsid w:val="003F04CB"/>
    <w:rsid w:val="003F074D"/>
    <w:rsid w:val="003F48CC"/>
    <w:rsid w:val="003F63DA"/>
    <w:rsid w:val="003F65CC"/>
    <w:rsid w:val="004002AE"/>
    <w:rsid w:val="00401159"/>
    <w:rsid w:val="00401A9B"/>
    <w:rsid w:val="0040253B"/>
    <w:rsid w:val="00402936"/>
    <w:rsid w:val="004034EE"/>
    <w:rsid w:val="00404D42"/>
    <w:rsid w:val="00405E0E"/>
    <w:rsid w:val="00406EC5"/>
    <w:rsid w:val="00407D81"/>
    <w:rsid w:val="00410CF0"/>
    <w:rsid w:val="004114B7"/>
    <w:rsid w:val="00414031"/>
    <w:rsid w:val="004142E9"/>
    <w:rsid w:val="004143EA"/>
    <w:rsid w:val="004149BE"/>
    <w:rsid w:val="00415859"/>
    <w:rsid w:val="00416B96"/>
    <w:rsid w:val="004175AC"/>
    <w:rsid w:val="00421657"/>
    <w:rsid w:val="0042170E"/>
    <w:rsid w:val="00423300"/>
    <w:rsid w:val="004301DA"/>
    <w:rsid w:val="00430DA3"/>
    <w:rsid w:val="00431879"/>
    <w:rsid w:val="00431DBE"/>
    <w:rsid w:val="00432173"/>
    <w:rsid w:val="00435EEF"/>
    <w:rsid w:val="0044140E"/>
    <w:rsid w:val="00441E67"/>
    <w:rsid w:val="0044217C"/>
    <w:rsid w:val="004449F4"/>
    <w:rsid w:val="00444C14"/>
    <w:rsid w:val="004461B8"/>
    <w:rsid w:val="004508C2"/>
    <w:rsid w:val="00450EE7"/>
    <w:rsid w:val="00452AE6"/>
    <w:rsid w:val="00453603"/>
    <w:rsid w:val="00453CF1"/>
    <w:rsid w:val="004566F3"/>
    <w:rsid w:val="00456D11"/>
    <w:rsid w:val="00461271"/>
    <w:rsid w:val="00462CF6"/>
    <w:rsid w:val="00463000"/>
    <w:rsid w:val="00465FA3"/>
    <w:rsid w:val="00470DE6"/>
    <w:rsid w:val="00471014"/>
    <w:rsid w:val="00475CCE"/>
    <w:rsid w:val="00475E64"/>
    <w:rsid w:val="004774AF"/>
    <w:rsid w:val="0048025B"/>
    <w:rsid w:val="00482000"/>
    <w:rsid w:val="004823B4"/>
    <w:rsid w:val="004829FF"/>
    <w:rsid w:val="00485879"/>
    <w:rsid w:val="00487062"/>
    <w:rsid w:val="004874D6"/>
    <w:rsid w:val="004878D6"/>
    <w:rsid w:val="00487FA1"/>
    <w:rsid w:val="004926D8"/>
    <w:rsid w:val="00494FED"/>
    <w:rsid w:val="0049556B"/>
    <w:rsid w:val="00496C23"/>
    <w:rsid w:val="004A0FB7"/>
    <w:rsid w:val="004A16F2"/>
    <w:rsid w:val="004A2795"/>
    <w:rsid w:val="004A4106"/>
    <w:rsid w:val="004A52FC"/>
    <w:rsid w:val="004B0026"/>
    <w:rsid w:val="004B4252"/>
    <w:rsid w:val="004B4D27"/>
    <w:rsid w:val="004B4E48"/>
    <w:rsid w:val="004B63B9"/>
    <w:rsid w:val="004C035B"/>
    <w:rsid w:val="004C3AB1"/>
    <w:rsid w:val="004C3F80"/>
    <w:rsid w:val="004C55AC"/>
    <w:rsid w:val="004C5971"/>
    <w:rsid w:val="004D09D0"/>
    <w:rsid w:val="004D2367"/>
    <w:rsid w:val="004D2547"/>
    <w:rsid w:val="004D26E8"/>
    <w:rsid w:val="004D2849"/>
    <w:rsid w:val="004D396B"/>
    <w:rsid w:val="004D44BE"/>
    <w:rsid w:val="004E143F"/>
    <w:rsid w:val="004E1B5A"/>
    <w:rsid w:val="004E333C"/>
    <w:rsid w:val="004E39C6"/>
    <w:rsid w:val="004E47BC"/>
    <w:rsid w:val="004E50C2"/>
    <w:rsid w:val="004F06B4"/>
    <w:rsid w:val="004F2315"/>
    <w:rsid w:val="004F66DD"/>
    <w:rsid w:val="00500F83"/>
    <w:rsid w:val="00503F3F"/>
    <w:rsid w:val="005054C1"/>
    <w:rsid w:val="0050730D"/>
    <w:rsid w:val="00507A70"/>
    <w:rsid w:val="00507F67"/>
    <w:rsid w:val="005146DA"/>
    <w:rsid w:val="005152EA"/>
    <w:rsid w:val="00515A9D"/>
    <w:rsid w:val="0051611C"/>
    <w:rsid w:val="00523EC9"/>
    <w:rsid w:val="00526503"/>
    <w:rsid w:val="00526A45"/>
    <w:rsid w:val="0052773C"/>
    <w:rsid w:val="00527766"/>
    <w:rsid w:val="0053019A"/>
    <w:rsid w:val="00530EAD"/>
    <w:rsid w:val="005344F2"/>
    <w:rsid w:val="005347B9"/>
    <w:rsid w:val="00535227"/>
    <w:rsid w:val="005353A2"/>
    <w:rsid w:val="00535623"/>
    <w:rsid w:val="005361A5"/>
    <w:rsid w:val="00537031"/>
    <w:rsid w:val="00537706"/>
    <w:rsid w:val="0054005E"/>
    <w:rsid w:val="00540348"/>
    <w:rsid w:val="00540F72"/>
    <w:rsid w:val="005413F8"/>
    <w:rsid w:val="005422BF"/>
    <w:rsid w:val="00542486"/>
    <w:rsid w:val="00543AE5"/>
    <w:rsid w:val="00543DF5"/>
    <w:rsid w:val="00546976"/>
    <w:rsid w:val="00550912"/>
    <w:rsid w:val="00552DC7"/>
    <w:rsid w:val="00555BA3"/>
    <w:rsid w:val="00555D52"/>
    <w:rsid w:val="00556932"/>
    <w:rsid w:val="00557181"/>
    <w:rsid w:val="00561CD4"/>
    <w:rsid w:val="005622C6"/>
    <w:rsid w:val="00562EF7"/>
    <w:rsid w:val="00563824"/>
    <w:rsid w:val="005646BC"/>
    <w:rsid w:val="005646D9"/>
    <w:rsid w:val="005657AC"/>
    <w:rsid w:val="0056769A"/>
    <w:rsid w:val="00567A30"/>
    <w:rsid w:val="005709F7"/>
    <w:rsid w:val="00571694"/>
    <w:rsid w:val="00572F51"/>
    <w:rsid w:val="0057358B"/>
    <w:rsid w:val="005736ED"/>
    <w:rsid w:val="005742BE"/>
    <w:rsid w:val="0057481D"/>
    <w:rsid w:val="005802BF"/>
    <w:rsid w:val="00580307"/>
    <w:rsid w:val="005819F8"/>
    <w:rsid w:val="005825B1"/>
    <w:rsid w:val="00583AC1"/>
    <w:rsid w:val="005901F3"/>
    <w:rsid w:val="00595AF5"/>
    <w:rsid w:val="00596A46"/>
    <w:rsid w:val="00596D29"/>
    <w:rsid w:val="005976DA"/>
    <w:rsid w:val="00597CF3"/>
    <w:rsid w:val="005A10C2"/>
    <w:rsid w:val="005A36DF"/>
    <w:rsid w:val="005A390F"/>
    <w:rsid w:val="005A48E1"/>
    <w:rsid w:val="005A7571"/>
    <w:rsid w:val="005B04A7"/>
    <w:rsid w:val="005B2619"/>
    <w:rsid w:val="005B29F7"/>
    <w:rsid w:val="005B40F1"/>
    <w:rsid w:val="005B6997"/>
    <w:rsid w:val="005C1303"/>
    <w:rsid w:val="005C2798"/>
    <w:rsid w:val="005C484D"/>
    <w:rsid w:val="005C4997"/>
    <w:rsid w:val="005C4F64"/>
    <w:rsid w:val="005C6C85"/>
    <w:rsid w:val="005C7DB8"/>
    <w:rsid w:val="005D0793"/>
    <w:rsid w:val="005D0F3B"/>
    <w:rsid w:val="005D1882"/>
    <w:rsid w:val="005D3E6D"/>
    <w:rsid w:val="005D45CC"/>
    <w:rsid w:val="005D582D"/>
    <w:rsid w:val="005D6D1D"/>
    <w:rsid w:val="005E0A78"/>
    <w:rsid w:val="005E188B"/>
    <w:rsid w:val="005E2971"/>
    <w:rsid w:val="005E3718"/>
    <w:rsid w:val="005E39D8"/>
    <w:rsid w:val="005E5A1D"/>
    <w:rsid w:val="005E5B34"/>
    <w:rsid w:val="005E6772"/>
    <w:rsid w:val="005E6F8B"/>
    <w:rsid w:val="005E79EB"/>
    <w:rsid w:val="005F063D"/>
    <w:rsid w:val="005F06DC"/>
    <w:rsid w:val="005F0C83"/>
    <w:rsid w:val="005F0E33"/>
    <w:rsid w:val="005F2807"/>
    <w:rsid w:val="005F2A1F"/>
    <w:rsid w:val="005F4BD7"/>
    <w:rsid w:val="005F532A"/>
    <w:rsid w:val="005F5471"/>
    <w:rsid w:val="005F6530"/>
    <w:rsid w:val="00600E13"/>
    <w:rsid w:val="0060186E"/>
    <w:rsid w:val="00603012"/>
    <w:rsid w:val="0060378E"/>
    <w:rsid w:val="00606834"/>
    <w:rsid w:val="00606CD0"/>
    <w:rsid w:val="006076EE"/>
    <w:rsid w:val="00607EA1"/>
    <w:rsid w:val="00610993"/>
    <w:rsid w:val="00611C33"/>
    <w:rsid w:val="00612AF1"/>
    <w:rsid w:val="0061397F"/>
    <w:rsid w:val="006147D0"/>
    <w:rsid w:val="00616116"/>
    <w:rsid w:val="00617C0F"/>
    <w:rsid w:val="00617C1B"/>
    <w:rsid w:val="00617DA6"/>
    <w:rsid w:val="006207B6"/>
    <w:rsid w:val="00620977"/>
    <w:rsid w:val="00620FC6"/>
    <w:rsid w:val="006245EE"/>
    <w:rsid w:val="00624882"/>
    <w:rsid w:val="00624BA3"/>
    <w:rsid w:val="0062573C"/>
    <w:rsid w:val="00625F9B"/>
    <w:rsid w:val="00626980"/>
    <w:rsid w:val="00627DFD"/>
    <w:rsid w:val="006314BE"/>
    <w:rsid w:val="006358C8"/>
    <w:rsid w:val="00635C3F"/>
    <w:rsid w:val="00642198"/>
    <w:rsid w:val="00643242"/>
    <w:rsid w:val="00643C5E"/>
    <w:rsid w:val="006461E1"/>
    <w:rsid w:val="00647434"/>
    <w:rsid w:val="006478B1"/>
    <w:rsid w:val="00647DF0"/>
    <w:rsid w:val="006507C7"/>
    <w:rsid w:val="00650CAE"/>
    <w:rsid w:val="00651954"/>
    <w:rsid w:val="0065271D"/>
    <w:rsid w:val="00653DD8"/>
    <w:rsid w:val="00653FCE"/>
    <w:rsid w:val="006574AD"/>
    <w:rsid w:val="006605F2"/>
    <w:rsid w:val="00660DF9"/>
    <w:rsid w:val="006620B3"/>
    <w:rsid w:val="006621CA"/>
    <w:rsid w:val="006622F8"/>
    <w:rsid w:val="0066417A"/>
    <w:rsid w:val="00666D64"/>
    <w:rsid w:val="0067099B"/>
    <w:rsid w:val="00670B42"/>
    <w:rsid w:val="006734FC"/>
    <w:rsid w:val="00673574"/>
    <w:rsid w:val="006735A6"/>
    <w:rsid w:val="00673E4B"/>
    <w:rsid w:val="00673E6B"/>
    <w:rsid w:val="006758E3"/>
    <w:rsid w:val="0068110D"/>
    <w:rsid w:val="006812D5"/>
    <w:rsid w:val="00681ED2"/>
    <w:rsid w:val="00682D38"/>
    <w:rsid w:val="00687BEA"/>
    <w:rsid w:val="006916B0"/>
    <w:rsid w:val="0069217D"/>
    <w:rsid w:val="006931B4"/>
    <w:rsid w:val="006967D0"/>
    <w:rsid w:val="00697728"/>
    <w:rsid w:val="00697800"/>
    <w:rsid w:val="006A1492"/>
    <w:rsid w:val="006A5380"/>
    <w:rsid w:val="006A5AD2"/>
    <w:rsid w:val="006B2043"/>
    <w:rsid w:val="006B4D59"/>
    <w:rsid w:val="006B721A"/>
    <w:rsid w:val="006B733B"/>
    <w:rsid w:val="006C1A5F"/>
    <w:rsid w:val="006C1F57"/>
    <w:rsid w:val="006C3576"/>
    <w:rsid w:val="006C3863"/>
    <w:rsid w:val="006C3A91"/>
    <w:rsid w:val="006C4A48"/>
    <w:rsid w:val="006C51B6"/>
    <w:rsid w:val="006C5A0C"/>
    <w:rsid w:val="006C68A4"/>
    <w:rsid w:val="006C7090"/>
    <w:rsid w:val="006D1788"/>
    <w:rsid w:val="006D2715"/>
    <w:rsid w:val="006D2744"/>
    <w:rsid w:val="006D611A"/>
    <w:rsid w:val="006D7419"/>
    <w:rsid w:val="006D74C2"/>
    <w:rsid w:val="006D7893"/>
    <w:rsid w:val="006D7C65"/>
    <w:rsid w:val="006E12A3"/>
    <w:rsid w:val="006E32EC"/>
    <w:rsid w:val="006E448E"/>
    <w:rsid w:val="006E5206"/>
    <w:rsid w:val="006E67E6"/>
    <w:rsid w:val="006F34FF"/>
    <w:rsid w:val="006F3726"/>
    <w:rsid w:val="006F4027"/>
    <w:rsid w:val="006F60C8"/>
    <w:rsid w:val="00700189"/>
    <w:rsid w:val="00700B71"/>
    <w:rsid w:val="0070200F"/>
    <w:rsid w:val="00703C3C"/>
    <w:rsid w:val="00703FE5"/>
    <w:rsid w:val="007043E3"/>
    <w:rsid w:val="007048B3"/>
    <w:rsid w:val="00704C4F"/>
    <w:rsid w:val="0070523E"/>
    <w:rsid w:val="007053AB"/>
    <w:rsid w:val="00705585"/>
    <w:rsid w:val="00705E00"/>
    <w:rsid w:val="00706208"/>
    <w:rsid w:val="007065A7"/>
    <w:rsid w:val="00707BE0"/>
    <w:rsid w:val="00710EFF"/>
    <w:rsid w:val="0071186E"/>
    <w:rsid w:val="00714F62"/>
    <w:rsid w:val="007155D2"/>
    <w:rsid w:val="00716287"/>
    <w:rsid w:val="00716F3C"/>
    <w:rsid w:val="00720ACD"/>
    <w:rsid w:val="007240C3"/>
    <w:rsid w:val="00724A9B"/>
    <w:rsid w:val="00724D3F"/>
    <w:rsid w:val="00725206"/>
    <w:rsid w:val="0072772C"/>
    <w:rsid w:val="00730F9B"/>
    <w:rsid w:val="007312DC"/>
    <w:rsid w:val="00732771"/>
    <w:rsid w:val="00732865"/>
    <w:rsid w:val="00733C0C"/>
    <w:rsid w:val="0074006B"/>
    <w:rsid w:val="00743320"/>
    <w:rsid w:val="00745E17"/>
    <w:rsid w:val="0075062B"/>
    <w:rsid w:val="00752D81"/>
    <w:rsid w:val="007530B9"/>
    <w:rsid w:val="00754A4C"/>
    <w:rsid w:val="00755436"/>
    <w:rsid w:val="00760029"/>
    <w:rsid w:val="00761EA5"/>
    <w:rsid w:val="00764FDD"/>
    <w:rsid w:val="0076511A"/>
    <w:rsid w:val="00765F43"/>
    <w:rsid w:val="0076697E"/>
    <w:rsid w:val="00767092"/>
    <w:rsid w:val="007739E7"/>
    <w:rsid w:val="0077422C"/>
    <w:rsid w:val="00776DD9"/>
    <w:rsid w:val="007775D8"/>
    <w:rsid w:val="007775F5"/>
    <w:rsid w:val="00780151"/>
    <w:rsid w:val="007864F7"/>
    <w:rsid w:val="00786933"/>
    <w:rsid w:val="0078700D"/>
    <w:rsid w:val="00787ED0"/>
    <w:rsid w:val="00791BA1"/>
    <w:rsid w:val="007925CD"/>
    <w:rsid w:val="0079276F"/>
    <w:rsid w:val="00793F57"/>
    <w:rsid w:val="00794854"/>
    <w:rsid w:val="00794A37"/>
    <w:rsid w:val="00795B8F"/>
    <w:rsid w:val="00795F33"/>
    <w:rsid w:val="00796BAB"/>
    <w:rsid w:val="00796D03"/>
    <w:rsid w:val="00797302"/>
    <w:rsid w:val="00797F39"/>
    <w:rsid w:val="00797FEE"/>
    <w:rsid w:val="007A514E"/>
    <w:rsid w:val="007A58EF"/>
    <w:rsid w:val="007A619B"/>
    <w:rsid w:val="007B008E"/>
    <w:rsid w:val="007B0C79"/>
    <w:rsid w:val="007B1190"/>
    <w:rsid w:val="007B1D07"/>
    <w:rsid w:val="007B1FFC"/>
    <w:rsid w:val="007B2839"/>
    <w:rsid w:val="007B2CBC"/>
    <w:rsid w:val="007B443F"/>
    <w:rsid w:val="007B52AC"/>
    <w:rsid w:val="007B5F49"/>
    <w:rsid w:val="007B608D"/>
    <w:rsid w:val="007B7617"/>
    <w:rsid w:val="007B7AC4"/>
    <w:rsid w:val="007C03D7"/>
    <w:rsid w:val="007C10F4"/>
    <w:rsid w:val="007C17FA"/>
    <w:rsid w:val="007C1877"/>
    <w:rsid w:val="007C187E"/>
    <w:rsid w:val="007C1A7E"/>
    <w:rsid w:val="007C1EFB"/>
    <w:rsid w:val="007C2E16"/>
    <w:rsid w:val="007C4C11"/>
    <w:rsid w:val="007D17F4"/>
    <w:rsid w:val="007D485A"/>
    <w:rsid w:val="007D70EE"/>
    <w:rsid w:val="007E33A2"/>
    <w:rsid w:val="007E3C28"/>
    <w:rsid w:val="007E579D"/>
    <w:rsid w:val="007E6C0D"/>
    <w:rsid w:val="007E7B2E"/>
    <w:rsid w:val="007F044A"/>
    <w:rsid w:val="007F1604"/>
    <w:rsid w:val="007F3F23"/>
    <w:rsid w:val="007F5C1A"/>
    <w:rsid w:val="00800BC2"/>
    <w:rsid w:val="008037CA"/>
    <w:rsid w:val="008048BD"/>
    <w:rsid w:val="00805C4C"/>
    <w:rsid w:val="00806822"/>
    <w:rsid w:val="00810C47"/>
    <w:rsid w:val="00811024"/>
    <w:rsid w:val="00811A76"/>
    <w:rsid w:val="00811ABE"/>
    <w:rsid w:val="00812D0C"/>
    <w:rsid w:val="0081341B"/>
    <w:rsid w:val="00813B32"/>
    <w:rsid w:val="00814444"/>
    <w:rsid w:val="00815AFE"/>
    <w:rsid w:val="00817622"/>
    <w:rsid w:val="008235AF"/>
    <w:rsid w:val="00823688"/>
    <w:rsid w:val="00823F09"/>
    <w:rsid w:val="0082503A"/>
    <w:rsid w:val="00825969"/>
    <w:rsid w:val="00825AC6"/>
    <w:rsid w:val="00826D0E"/>
    <w:rsid w:val="00826FA0"/>
    <w:rsid w:val="0083302B"/>
    <w:rsid w:val="00835F61"/>
    <w:rsid w:val="00837AB4"/>
    <w:rsid w:val="008416D5"/>
    <w:rsid w:val="00841B0D"/>
    <w:rsid w:val="00841EB4"/>
    <w:rsid w:val="00845FEE"/>
    <w:rsid w:val="00846588"/>
    <w:rsid w:val="008465B8"/>
    <w:rsid w:val="00847752"/>
    <w:rsid w:val="0084799A"/>
    <w:rsid w:val="008505AB"/>
    <w:rsid w:val="00850995"/>
    <w:rsid w:val="00852023"/>
    <w:rsid w:val="00856DD3"/>
    <w:rsid w:val="0085774C"/>
    <w:rsid w:val="00857FF9"/>
    <w:rsid w:val="00860699"/>
    <w:rsid w:val="00861E46"/>
    <w:rsid w:val="00861E9B"/>
    <w:rsid w:val="00861EA6"/>
    <w:rsid w:val="008624E3"/>
    <w:rsid w:val="008629A6"/>
    <w:rsid w:val="0086427C"/>
    <w:rsid w:val="00865AA7"/>
    <w:rsid w:val="008661D5"/>
    <w:rsid w:val="008706BD"/>
    <w:rsid w:val="00870E78"/>
    <w:rsid w:val="00871AFB"/>
    <w:rsid w:val="008723C9"/>
    <w:rsid w:val="00872D68"/>
    <w:rsid w:val="00873A6E"/>
    <w:rsid w:val="00875CFC"/>
    <w:rsid w:val="00876A03"/>
    <w:rsid w:val="00882494"/>
    <w:rsid w:val="00884D9D"/>
    <w:rsid w:val="008856EF"/>
    <w:rsid w:val="008945F1"/>
    <w:rsid w:val="008977C4"/>
    <w:rsid w:val="008A1FBF"/>
    <w:rsid w:val="008A2B46"/>
    <w:rsid w:val="008A4C13"/>
    <w:rsid w:val="008A7439"/>
    <w:rsid w:val="008A74AE"/>
    <w:rsid w:val="008B0C3B"/>
    <w:rsid w:val="008B0E50"/>
    <w:rsid w:val="008B1A41"/>
    <w:rsid w:val="008B2E38"/>
    <w:rsid w:val="008B2FE8"/>
    <w:rsid w:val="008B32AD"/>
    <w:rsid w:val="008B585F"/>
    <w:rsid w:val="008B694E"/>
    <w:rsid w:val="008C0CA9"/>
    <w:rsid w:val="008C17BF"/>
    <w:rsid w:val="008C24F0"/>
    <w:rsid w:val="008C333D"/>
    <w:rsid w:val="008C45D3"/>
    <w:rsid w:val="008C531A"/>
    <w:rsid w:val="008C5A28"/>
    <w:rsid w:val="008D04CD"/>
    <w:rsid w:val="008D07A5"/>
    <w:rsid w:val="008D0D3F"/>
    <w:rsid w:val="008D1A24"/>
    <w:rsid w:val="008D2640"/>
    <w:rsid w:val="008D2B2E"/>
    <w:rsid w:val="008D51D6"/>
    <w:rsid w:val="008D5981"/>
    <w:rsid w:val="008D5A7E"/>
    <w:rsid w:val="008D75B4"/>
    <w:rsid w:val="008E1B46"/>
    <w:rsid w:val="008E24CA"/>
    <w:rsid w:val="008E2547"/>
    <w:rsid w:val="008E352A"/>
    <w:rsid w:val="008E3D4C"/>
    <w:rsid w:val="008E4017"/>
    <w:rsid w:val="008E405E"/>
    <w:rsid w:val="008E526F"/>
    <w:rsid w:val="008E5670"/>
    <w:rsid w:val="008E60D5"/>
    <w:rsid w:val="008E6138"/>
    <w:rsid w:val="008F04BE"/>
    <w:rsid w:val="008F1FCE"/>
    <w:rsid w:val="008F253F"/>
    <w:rsid w:val="008F3A32"/>
    <w:rsid w:val="008F6958"/>
    <w:rsid w:val="008F6C61"/>
    <w:rsid w:val="008F71EC"/>
    <w:rsid w:val="00900F82"/>
    <w:rsid w:val="009027F1"/>
    <w:rsid w:val="009045B7"/>
    <w:rsid w:val="009049FC"/>
    <w:rsid w:val="00904F9E"/>
    <w:rsid w:val="0090574C"/>
    <w:rsid w:val="00906570"/>
    <w:rsid w:val="009100E1"/>
    <w:rsid w:val="00910A6D"/>
    <w:rsid w:val="00910CFA"/>
    <w:rsid w:val="00911185"/>
    <w:rsid w:val="009122E5"/>
    <w:rsid w:val="009136DA"/>
    <w:rsid w:val="00913EE7"/>
    <w:rsid w:val="00916D5A"/>
    <w:rsid w:val="0092103F"/>
    <w:rsid w:val="00922922"/>
    <w:rsid w:val="0092299C"/>
    <w:rsid w:val="00923311"/>
    <w:rsid w:val="00923DE8"/>
    <w:rsid w:val="00924699"/>
    <w:rsid w:val="00926C39"/>
    <w:rsid w:val="0093025B"/>
    <w:rsid w:val="0093091C"/>
    <w:rsid w:val="009339D3"/>
    <w:rsid w:val="009348F9"/>
    <w:rsid w:val="00935644"/>
    <w:rsid w:val="009400DD"/>
    <w:rsid w:val="00940834"/>
    <w:rsid w:val="00942B77"/>
    <w:rsid w:val="00945A13"/>
    <w:rsid w:val="00945BB9"/>
    <w:rsid w:val="00947C70"/>
    <w:rsid w:val="00952E6D"/>
    <w:rsid w:val="00953C55"/>
    <w:rsid w:val="0095594C"/>
    <w:rsid w:val="00962DCC"/>
    <w:rsid w:val="0096328D"/>
    <w:rsid w:val="00963DEC"/>
    <w:rsid w:val="00964329"/>
    <w:rsid w:val="00965C39"/>
    <w:rsid w:val="009668BC"/>
    <w:rsid w:val="00966ADB"/>
    <w:rsid w:val="009718DB"/>
    <w:rsid w:val="009738A1"/>
    <w:rsid w:val="00974339"/>
    <w:rsid w:val="009745AF"/>
    <w:rsid w:val="0097567B"/>
    <w:rsid w:val="00975A69"/>
    <w:rsid w:val="00977D59"/>
    <w:rsid w:val="00977FF8"/>
    <w:rsid w:val="00980A57"/>
    <w:rsid w:val="00981FA7"/>
    <w:rsid w:val="0098206C"/>
    <w:rsid w:val="009825BE"/>
    <w:rsid w:val="00982EE5"/>
    <w:rsid w:val="00983122"/>
    <w:rsid w:val="009844CE"/>
    <w:rsid w:val="009863BB"/>
    <w:rsid w:val="00986D1D"/>
    <w:rsid w:val="009872A9"/>
    <w:rsid w:val="0098775D"/>
    <w:rsid w:val="009903B3"/>
    <w:rsid w:val="00991657"/>
    <w:rsid w:val="0099661E"/>
    <w:rsid w:val="00996A96"/>
    <w:rsid w:val="00996F68"/>
    <w:rsid w:val="00996F86"/>
    <w:rsid w:val="00997964"/>
    <w:rsid w:val="009A16BA"/>
    <w:rsid w:val="009A2290"/>
    <w:rsid w:val="009A3149"/>
    <w:rsid w:val="009A5B77"/>
    <w:rsid w:val="009B0378"/>
    <w:rsid w:val="009B37FE"/>
    <w:rsid w:val="009B425F"/>
    <w:rsid w:val="009B69DA"/>
    <w:rsid w:val="009B71CF"/>
    <w:rsid w:val="009C27A4"/>
    <w:rsid w:val="009C2B18"/>
    <w:rsid w:val="009C3E63"/>
    <w:rsid w:val="009C4855"/>
    <w:rsid w:val="009C51CD"/>
    <w:rsid w:val="009C5F04"/>
    <w:rsid w:val="009C5F71"/>
    <w:rsid w:val="009C6593"/>
    <w:rsid w:val="009C735B"/>
    <w:rsid w:val="009C7F03"/>
    <w:rsid w:val="009D204A"/>
    <w:rsid w:val="009D3281"/>
    <w:rsid w:val="009D52F5"/>
    <w:rsid w:val="009E0259"/>
    <w:rsid w:val="009E07B3"/>
    <w:rsid w:val="009E1B91"/>
    <w:rsid w:val="009E1EB5"/>
    <w:rsid w:val="009E27D7"/>
    <w:rsid w:val="009E322C"/>
    <w:rsid w:val="009E6B82"/>
    <w:rsid w:val="009E6FC0"/>
    <w:rsid w:val="009F0970"/>
    <w:rsid w:val="009F1F42"/>
    <w:rsid w:val="009F3EB8"/>
    <w:rsid w:val="009F609D"/>
    <w:rsid w:val="00A02744"/>
    <w:rsid w:val="00A04A1C"/>
    <w:rsid w:val="00A05C8B"/>
    <w:rsid w:val="00A06032"/>
    <w:rsid w:val="00A06362"/>
    <w:rsid w:val="00A11DD8"/>
    <w:rsid w:val="00A13F82"/>
    <w:rsid w:val="00A206D2"/>
    <w:rsid w:val="00A208C2"/>
    <w:rsid w:val="00A20E3F"/>
    <w:rsid w:val="00A225C4"/>
    <w:rsid w:val="00A245BA"/>
    <w:rsid w:val="00A26308"/>
    <w:rsid w:val="00A2661B"/>
    <w:rsid w:val="00A27A8C"/>
    <w:rsid w:val="00A30580"/>
    <w:rsid w:val="00A3099A"/>
    <w:rsid w:val="00A3148C"/>
    <w:rsid w:val="00A31C7D"/>
    <w:rsid w:val="00A32440"/>
    <w:rsid w:val="00A32C7B"/>
    <w:rsid w:val="00A35324"/>
    <w:rsid w:val="00A36D58"/>
    <w:rsid w:val="00A3718E"/>
    <w:rsid w:val="00A37FFC"/>
    <w:rsid w:val="00A41286"/>
    <w:rsid w:val="00A4154A"/>
    <w:rsid w:val="00A42FF2"/>
    <w:rsid w:val="00A43195"/>
    <w:rsid w:val="00A43717"/>
    <w:rsid w:val="00A4473B"/>
    <w:rsid w:val="00A44DDC"/>
    <w:rsid w:val="00A45E61"/>
    <w:rsid w:val="00A476AA"/>
    <w:rsid w:val="00A505D0"/>
    <w:rsid w:val="00A5103E"/>
    <w:rsid w:val="00A51AEC"/>
    <w:rsid w:val="00A529AB"/>
    <w:rsid w:val="00A5623F"/>
    <w:rsid w:val="00A6286D"/>
    <w:rsid w:val="00A62FE5"/>
    <w:rsid w:val="00A63DF5"/>
    <w:rsid w:val="00A64827"/>
    <w:rsid w:val="00A64D58"/>
    <w:rsid w:val="00A6627C"/>
    <w:rsid w:val="00A668AB"/>
    <w:rsid w:val="00A71999"/>
    <w:rsid w:val="00A75AF6"/>
    <w:rsid w:val="00A76868"/>
    <w:rsid w:val="00A77690"/>
    <w:rsid w:val="00A80189"/>
    <w:rsid w:val="00A815B7"/>
    <w:rsid w:val="00A81EE6"/>
    <w:rsid w:val="00A8268E"/>
    <w:rsid w:val="00A853C5"/>
    <w:rsid w:val="00A86DB1"/>
    <w:rsid w:val="00A92BC7"/>
    <w:rsid w:val="00A938AD"/>
    <w:rsid w:val="00A96331"/>
    <w:rsid w:val="00A964C6"/>
    <w:rsid w:val="00AA119B"/>
    <w:rsid w:val="00AA14E4"/>
    <w:rsid w:val="00AA16C5"/>
    <w:rsid w:val="00AA17A0"/>
    <w:rsid w:val="00AA2228"/>
    <w:rsid w:val="00AA2D1B"/>
    <w:rsid w:val="00AA41C1"/>
    <w:rsid w:val="00AA7767"/>
    <w:rsid w:val="00AA7BC6"/>
    <w:rsid w:val="00AB1AEF"/>
    <w:rsid w:val="00AB3101"/>
    <w:rsid w:val="00AB3DFE"/>
    <w:rsid w:val="00AB3EA4"/>
    <w:rsid w:val="00AB575F"/>
    <w:rsid w:val="00AB662D"/>
    <w:rsid w:val="00AB663C"/>
    <w:rsid w:val="00AB67FE"/>
    <w:rsid w:val="00AB7E40"/>
    <w:rsid w:val="00AC111B"/>
    <w:rsid w:val="00AC2080"/>
    <w:rsid w:val="00AC2B69"/>
    <w:rsid w:val="00AC4A59"/>
    <w:rsid w:val="00AD00B5"/>
    <w:rsid w:val="00AD3761"/>
    <w:rsid w:val="00AE0A57"/>
    <w:rsid w:val="00AE263A"/>
    <w:rsid w:val="00AE52C0"/>
    <w:rsid w:val="00AE66E9"/>
    <w:rsid w:val="00AE7518"/>
    <w:rsid w:val="00AE7666"/>
    <w:rsid w:val="00AF0AEB"/>
    <w:rsid w:val="00AF0F7D"/>
    <w:rsid w:val="00AF21A4"/>
    <w:rsid w:val="00AF6109"/>
    <w:rsid w:val="00AF71FF"/>
    <w:rsid w:val="00B001CB"/>
    <w:rsid w:val="00B013A6"/>
    <w:rsid w:val="00B019E4"/>
    <w:rsid w:val="00B04E86"/>
    <w:rsid w:val="00B05131"/>
    <w:rsid w:val="00B0684F"/>
    <w:rsid w:val="00B06A2B"/>
    <w:rsid w:val="00B06D3D"/>
    <w:rsid w:val="00B071CA"/>
    <w:rsid w:val="00B104EA"/>
    <w:rsid w:val="00B1074A"/>
    <w:rsid w:val="00B14814"/>
    <w:rsid w:val="00B14E34"/>
    <w:rsid w:val="00B163F2"/>
    <w:rsid w:val="00B16EC3"/>
    <w:rsid w:val="00B17C4E"/>
    <w:rsid w:val="00B2167C"/>
    <w:rsid w:val="00B23301"/>
    <w:rsid w:val="00B254A4"/>
    <w:rsid w:val="00B26EDB"/>
    <w:rsid w:val="00B32931"/>
    <w:rsid w:val="00B331F7"/>
    <w:rsid w:val="00B33BAC"/>
    <w:rsid w:val="00B34737"/>
    <w:rsid w:val="00B3488C"/>
    <w:rsid w:val="00B34C26"/>
    <w:rsid w:val="00B354DE"/>
    <w:rsid w:val="00B37C4E"/>
    <w:rsid w:val="00B37CC5"/>
    <w:rsid w:val="00B401F6"/>
    <w:rsid w:val="00B41FC9"/>
    <w:rsid w:val="00B46CE3"/>
    <w:rsid w:val="00B55EF2"/>
    <w:rsid w:val="00B561D1"/>
    <w:rsid w:val="00B561F3"/>
    <w:rsid w:val="00B57BC7"/>
    <w:rsid w:val="00B60C72"/>
    <w:rsid w:val="00B60E11"/>
    <w:rsid w:val="00B61ACF"/>
    <w:rsid w:val="00B62142"/>
    <w:rsid w:val="00B6338D"/>
    <w:rsid w:val="00B675B1"/>
    <w:rsid w:val="00B675E7"/>
    <w:rsid w:val="00B676FB"/>
    <w:rsid w:val="00B70F76"/>
    <w:rsid w:val="00B7105E"/>
    <w:rsid w:val="00B72617"/>
    <w:rsid w:val="00B7373A"/>
    <w:rsid w:val="00B7547A"/>
    <w:rsid w:val="00B771A4"/>
    <w:rsid w:val="00B80105"/>
    <w:rsid w:val="00B80D57"/>
    <w:rsid w:val="00B853C9"/>
    <w:rsid w:val="00B85B0B"/>
    <w:rsid w:val="00B905FF"/>
    <w:rsid w:val="00B91B7C"/>
    <w:rsid w:val="00B92940"/>
    <w:rsid w:val="00B93186"/>
    <w:rsid w:val="00B933A6"/>
    <w:rsid w:val="00B94BBE"/>
    <w:rsid w:val="00B959FD"/>
    <w:rsid w:val="00B95C51"/>
    <w:rsid w:val="00B95FF7"/>
    <w:rsid w:val="00B97A50"/>
    <w:rsid w:val="00BA4229"/>
    <w:rsid w:val="00BA4C28"/>
    <w:rsid w:val="00BA6273"/>
    <w:rsid w:val="00BA775E"/>
    <w:rsid w:val="00BB15E1"/>
    <w:rsid w:val="00BB236F"/>
    <w:rsid w:val="00BB2ECE"/>
    <w:rsid w:val="00BB3BA0"/>
    <w:rsid w:val="00BB49D6"/>
    <w:rsid w:val="00BB6405"/>
    <w:rsid w:val="00BB6DA3"/>
    <w:rsid w:val="00BB6DB9"/>
    <w:rsid w:val="00BB7230"/>
    <w:rsid w:val="00BC0607"/>
    <w:rsid w:val="00BC20F5"/>
    <w:rsid w:val="00BC21F6"/>
    <w:rsid w:val="00BC499F"/>
    <w:rsid w:val="00BC6A0A"/>
    <w:rsid w:val="00BC78D8"/>
    <w:rsid w:val="00BD144C"/>
    <w:rsid w:val="00BD321A"/>
    <w:rsid w:val="00BD3A39"/>
    <w:rsid w:val="00BD52E8"/>
    <w:rsid w:val="00BD5CC2"/>
    <w:rsid w:val="00BD6204"/>
    <w:rsid w:val="00BD6695"/>
    <w:rsid w:val="00BE00F0"/>
    <w:rsid w:val="00BE11A6"/>
    <w:rsid w:val="00BE13BD"/>
    <w:rsid w:val="00BE3081"/>
    <w:rsid w:val="00BE3BA0"/>
    <w:rsid w:val="00BE4841"/>
    <w:rsid w:val="00BE5368"/>
    <w:rsid w:val="00BE5DB2"/>
    <w:rsid w:val="00BE5EB8"/>
    <w:rsid w:val="00BE648A"/>
    <w:rsid w:val="00BE7AE6"/>
    <w:rsid w:val="00BE7B63"/>
    <w:rsid w:val="00BF2FCC"/>
    <w:rsid w:val="00BF3BBF"/>
    <w:rsid w:val="00BF5564"/>
    <w:rsid w:val="00C00B6C"/>
    <w:rsid w:val="00C01B18"/>
    <w:rsid w:val="00C01B72"/>
    <w:rsid w:val="00C01D77"/>
    <w:rsid w:val="00C0223D"/>
    <w:rsid w:val="00C02A7D"/>
    <w:rsid w:val="00C03C44"/>
    <w:rsid w:val="00C05351"/>
    <w:rsid w:val="00C06909"/>
    <w:rsid w:val="00C0756D"/>
    <w:rsid w:val="00C10AEA"/>
    <w:rsid w:val="00C11C2C"/>
    <w:rsid w:val="00C1334F"/>
    <w:rsid w:val="00C14253"/>
    <w:rsid w:val="00C16082"/>
    <w:rsid w:val="00C178F5"/>
    <w:rsid w:val="00C17E5C"/>
    <w:rsid w:val="00C20D79"/>
    <w:rsid w:val="00C21DFF"/>
    <w:rsid w:val="00C225D2"/>
    <w:rsid w:val="00C2289C"/>
    <w:rsid w:val="00C23366"/>
    <w:rsid w:val="00C23723"/>
    <w:rsid w:val="00C237D0"/>
    <w:rsid w:val="00C2519F"/>
    <w:rsid w:val="00C32240"/>
    <w:rsid w:val="00C3266D"/>
    <w:rsid w:val="00C32CF1"/>
    <w:rsid w:val="00C36E93"/>
    <w:rsid w:val="00C36E99"/>
    <w:rsid w:val="00C42074"/>
    <w:rsid w:val="00C42803"/>
    <w:rsid w:val="00C43F22"/>
    <w:rsid w:val="00C447B5"/>
    <w:rsid w:val="00C44B26"/>
    <w:rsid w:val="00C4542E"/>
    <w:rsid w:val="00C47A47"/>
    <w:rsid w:val="00C54201"/>
    <w:rsid w:val="00C54B3B"/>
    <w:rsid w:val="00C56E1F"/>
    <w:rsid w:val="00C5706F"/>
    <w:rsid w:val="00C5741C"/>
    <w:rsid w:val="00C57932"/>
    <w:rsid w:val="00C605D2"/>
    <w:rsid w:val="00C60728"/>
    <w:rsid w:val="00C60B2E"/>
    <w:rsid w:val="00C614BD"/>
    <w:rsid w:val="00C633EF"/>
    <w:rsid w:val="00C65B17"/>
    <w:rsid w:val="00C6627F"/>
    <w:rsid w:val="00C71762"/>
    <w:rsid w:val="00C72366"/>
    <w:rsid w:val="00C72D83"/>
    <w:rsid w:val="00C74121"/>
    <w:rsid w:val="00C74CE2"/>
    <w:rsid w:val="00C76C5C"/>
    <w:rsid w:val="00C76F2E"/>
    <w:rsid w:val="00C776DA"/>
    <w:rsid w:val="00C77FF4"/>
    <w:rsid w:val="00C80116"/>
    <w:rsid w:val="00C8137A"/>
    <w:rsid w:val="00C83358"/>
    <w:rsid w:val="00C83835"/>
    <w:rsid w:val="00C839C4"/>
    <w:rsid w:val="00C84C63"/>
    <w:rsid w:val="00C87F29"/>
    <w:rsid w:val="00C90DE1"/>
    <w:rsid w:val="00C90E08"/>
    <w:rsid w:val="00C92197"/>
    <w:rsid w:val="00C958BB"/>
    <w:rsid w:val="00C969FB"/>
    <w:rsid w:val="00C97C27"/>
    <w:rsid w:val="00C97D96"/>
    <w:rsid w:val="00CA0094"/>
    <w:rsid w:val="00CA3412"/>
    <w:rsid w:val="00CA5314"/>
    <w:rsid w:val="00CA6CB4"/>
    <w:rsid w:val="00CA6FA5"/>
    <w:rsid w:val="00CA7D3C"/>
    <w:rsid w:val="00CB1A16"/>
    <w:rsid w:val="00CB3100"/>
    <w:rsid w:val="00CB42ED"/>
    <w:rsid w:val="00CB7EC7"/>
    <w:rsid w:val="00CC0DF2"/>
    <w:rsid w:val="00CC259C"/>
    <w:rsid w:val="00CC3855"/>
    <w:rsid w:val="00CC39AC"/>
    <w:rsid w:val="00CC640D"/>
    <w:rsid w:val="00CC7388"/>
    <w:rsid w:val="00CD182E"/>
    <w:rsid w:val="00CD2592"/>
    <w:rsid w:val="00CD5F5D"/>
    <w:rsid w:val="00CD62D7"/>
    <w:rsid w:val="00CD7B12"/>
    <w:rsid w:val="00CE0010"/>
    <w:rsid w:val="00CE08BB"/>
    <w:rsid w:val="00CE1C22"/>
    <w:rsid w:val="00CE2C50"/>
    <w:rsid w:val="00CE3F53"/>
    <w:rsid w:val="00CE6359"/>
    <w:rsid w:val="00CE70C9"/>
    <w:rsid w:val="00CE71AD"/>
    <w:rsid w:val="00CE7B3E"/>
    <w:rsid w:val="00CF178F"/>
    <w:rsid w:val="00CF2A70"/>
    <w:rsid w:val="00CF2CEB"/>
    <w:rsid w:val="00CF4C0F"/>
    <w:rsid w:val="00CF6CB4"/>
    <w:rsid w:val="00CF76B1"/>
    <w:rsid w:val="00CF7E3C"/>
    <w:rsid w:val="00CF7FE1"/>
    <w:rsid w:val="00D02A1D"/>
    <w:rsid w:val="00D0399E"/>
    <w:rsid w:val="00D03F09"/>
    <w:rsid w:val="00D04D32"/>
    <w:rsid w:val="00D06A53"/>
    <w:rsid w:val="00D1073B"/>
    <w:rsid w:val="00D1248A"/>
    <w:rsid w:val="00D128EB"/>
    <w:rsid w:val="00D146FA"/>
    <w:rsid w:val="00D14736"/>
    <w:rsid w:val="00D17538"/>
    <w:rsid w:val="00D17BF5"/>
    <w:rsid w:val="00D21F0F"/>
    <w:rsid w:val="00D22F01"/>
    <w:rsid w:val="00D25AC2"/>
    <w:rsid w:val="00D31858"/>
    <w:rsid w:val="00D32A66"/>
    <w:rsid w:val="00D33A43"/>
    <w:rsid w:val="00D3628E"/>
    <w:rsid w:val="00D37E63"/>
    <w:rsid w:val="00D40088"/>
    <w:rsid w:val="00D40155"/>
    <w:rsid w:val="00D416B3"/>
    <w:rsid w:val="00D42752"/>
    <w:rsid w:val="00D4280A"/>
    <w:rsid w:val="00D43F6C"/>
    <w:rsid w:val="00D44DAC"/>
    <w:rsid w:val="00D4603C"/>
    <w:rsid w:val="00D462B2"/>
    <w:rsid w:val="00D4798C"/>
    <w:rsid w:val="00D501C2"/>
    <w:rsid w:val="00D501F6"/>
    <w:rsid w:val="00D50F4C"/>
    <w:rsid w:val="00D51FB6"/>
    <w:rsid w:val="00D525DB"/>
    <w:rsid w:val="00D54D28"/>
    <w:rsid w:val="00D55A1D"/>
    <w:rsid w:val="00D564B3"/>
    <w:rsid w:val="00D575F0"/>
    <w:rsid w:val="00D579EF"/>
    <w:rsid w:val="00D601E9"/>
    <w:rsid w:val="00D64D08"/>
    <w:rsid w:val="00D66352"/>
    <w:rsid w:val="00D6673B"/>
    <w:rsid w:val="00D66FAF"/>
    <w:rsid w:val="00D66FB3"/>
    <w:rsid w:val="00D71AFF"/>
    <w:rsid w:val="00D72BE8"/>
    <w:rsid w:val="00D74018"/>
    <w:rsid w:val="00D74DBF"/>
    <w:rsid w:val="00D7531D"/>
    <w:rsid w:val="00D75641"/>
    <w:rsid w:val="00D7622F"/>
    <w:rsid w:val="00D762F8"/>
    <w:rsid w:val="00D7654D"/>
    <w:rsid w:val="00D765EA"/>
    <w:rsid w:val="00D766E7"/>
    <w:rsid w:val="00D767B2"/>
    <w:rsid w:val="00D77E96"/>
    <w:rsid w:val="00D77FF4"/>
    <w:rsid w:val="00D80597"/>
    <w:rsid w:val="00D82D80"/>
    <w:rsid w:val="00D830FF"/>
    <w:rsid w:val="00D8772A"/>
    <w:rsid w:val="00D900A8"/>
    <w:rsid w:val="00D91237"/>
    <w:rsid w:val="00D918D2"/>
    <w:rsid w:val="00D92472"/>
    <w:rsid w:val="00D92481"/>
    <w:rsid w:val="00D92AE3"/>
    <w:rsid w:val="00D92F2F"/>
    <w:rsid w:val="00D93025"/>
    <w:rsid w:val="00D95A42"/>
    <w:rsid w:val="00D962E5"/>
    <w:rsid w:val="00D96A92"/>
    <w:rsid w:val="00D96E92"/>
    <w:rsid w:val="00D97BE2"/>
    <w:rsid w:val="00DA17D2"/>
    <w:rsid w:val="00DA2AFC"/>
    <w:rsid w:val="00DA3112"/>
    <w:rsid w:val="00DA462C"/>
    <w:rsid w:val="00DA5B29"/>
    <w:rsid w:val="00DA5CC8"/>
    <w:rsid w:val="00DA6841"/>
    <w:rsid w:val="00DB178D"/>
    <w:rsid w:val="00DB4457"/>
    <w:rsid w:val="00DB569F"/>
    <w:rsid w:val="00DB59D8"/>
    <w:rsid w:val="00DB5E3C"/>
    <w:rsid w:val="00DB647A"/>
    <w:rsid w:val="00DB657E"/>
    <w:rsid w:val="00DB7100"/>
    <w:rsid w:val="00DC0B53"/>
    <w:rsid w:val="00DC3CFF"/>
    <w:rsid w:val="00DC4012"/>
    <w:rsid w:val="00DC5F3E"/>
    <w:rsid w:val="00DC78B5"/>
    <w:rsid w:val="00DD1183"/>
    <w:rsid w:val="00DD1C44"/>
    <w:rsid w:val="00DD34CB"/>
    <w:rsid w:val="00DD47C1"/>
    <w:rsid w:val="00DD54B9"/>
    <w:rsid w:val="00DD6215"/>
    <w:rsid w:val="00DE037F"/>
    <w:rsid w:val="00DE0542"/>
    <w:rsid w:val="00DE0FFD"/>
    <w:rsid w:val="00DE100D"/>
    <w:rsid w:val="00DE1734"/>
    <w:rsid w:val="00DE34DF"/>
    <w:rsid w:val="00DE61F6"/>
    <w:rsid w:val="00DE6824"/>
    <w:rsid w:val="00DE6953"/>
    <w:rsid w:val="00DE7250"/>
    <w:rsid w:val="00DF2172"/>
    <w:rsid w:val="00DF231E"/>
    <w:rsid w:val="00DF4372"/>
    <w:rsid w:val="00DF57B5"/>
    <w:rsid w:val="00DF6D5B"/>
    <w:rsid w:val="00DF71C3"/>
    <w:rsid w:val="00E0176F"/>
    <w:rsid w:val="00E02134"/>
    <w:rsid w:val="00E03270"/>
    <w:rsid w:val="00E07ADB"/>
    <w:rsid w:val="00E12E31"/>
    <w:rsid w:val="00E13621"/>
    <w:rsid w:val="00E13DE3"/>
    <w:rsid w:val="00E147AD"/>
    <w:rsid w:val="00E17836"/>
    <w:rsid w:val="00E17C44"/>
    <w:rsid w:val="00E202E9"/>
    <w:rsid w:val="00E222ED"/>
    <w:rsid w:val="00E233B2"/>
    <w:rsid w:val="00E245C6"/>
    <w:rsid w:val="00E2496D"/>
    <w:rsid w:val="00E24A4E"/>
    <w:rsid w:val="00E25390"/>
    <w:rsid w:val="00E265C3"/>
    <w:rsid w:val="00E3133D"/>
    <w:rsid w:val="00E329CB"/>
    <w:rsid w:val="00E32A3E"/>
    <w:rsid w:val="00E32DBE"/>
    <w:rsid w:val="00E338B1"/>
    <w:rsid w:val="00E3461A"/>
    <w:rsid w:val="00E34A0E"/>
    <w:rsid w:val="00E354D8"/>
    <w:rsid w:val="00E366A0"/>
    <w:rsid w:val="00E37420"/>
    <w:rsid w:val="00E4261A"/>
    <w:rsid w:val="00E43396"/>
    <w:rsid w:val="00E44806"/>
    <w:rsid w:val="00E44F88"/>
    <w:rsid w:val="00E51A44"/>
    <w:rsid w:val="00E51DDE"/>
    <w:rsid w:val="00E5347C"/>
    <w:rsid w:val="00E55F9A"/>
    <w:rsid w:val="00E57C0A"/>
    <w:rsid w:val="00E57F40"/>
    <w:rsid w:val="00E601D4"/>
    <w:rsid w:val="00E602F7"/>
    <w:rsid w:val="00E67E66"/>
    <w:rsid w:val="00E710F6"/>
    <w:rsid w:val="00E71D3E"/>
    <w:rsid w:val="00E73F3A"/>
    <w:rsid w:val="00E7476A"/>
    <w:rsid w:val="00E752D4"/>
    <w:rsid w:val="00E80963"/>
    <w:rsid w:val="00E82118"/>
    <w:rsid w:val="00E822D4"/>
    <w:rsid w:val="00E825CA"/>
    <w:rsid w:val="00E828F4"/>
    <w:rsid w:val="00E861AD"/>
    <w:rsid w:val="00E9061B"/>
    <w:rsid w:val="00E91134"/>
    <w:rsid w:val="00E9267D"/>
    <w:rsid w:val="00E9413F"/>
    <w:rsid w:val="00E94D26"/>
    <w:rsid w:val="00E94DCB"/>
    <w:rsid w:val="00E954F3"/>
    <w:rsid w:val="00E95F38"/>
    <w:rsid w:val="00E9621E"/>
    <w:rsid w:val="00E9658D"/>
    <w:rsid w:val="00E96AEB"/>
    <w:rsid w:val="00EA005B"/>
    <w:rsid w:val="00EA18C8"/>
    <w:rsid w:val="00EA1BB7"/>
    <w:rsid w:val="00EA32DE"/>
    <w:rsid w:val="00EA6E3B"/>
    <w:rsid w:val="00EB11AF"/>
    <w:rsid w:val="00EB21B5"/>
    <w:rsid w:val="00EB2D0B"/>
    <w:rsid w:val="00EB2DAA"/>
    <w:rsid w:val="00EB3071"/>
    <w:rsid w:val="00EB594B"/>
    <w:rsid w:val="00EC60BA"/>
    <w:rsid w:val="00EC64FA"/>
    <w:rsid w:val="00EC668E"/>
    <w:rsid w:val="00EC7B59"/>
    <w:rsid w:val="00ED023F"/>
    <w:rsid w:val="00ED10B5"/>
    <w:rsid w:val="00ED25B7"/>
    <w:rsid w:val="00ED2DA7"/>
    <w:rsid w:val="00ED69C4"/>
    <w:rsid w:val="00EE0ED7"/>
    <w:rsid w:val="00EE1364"/>
    <w:rsid w:val="00EE19ED"/>
    <w:rsid w:val="00EE1B9E"/>
    <w:rsid w:val="00EE21AE"/>
    <w:rsid w:val="00EE2D05"/>
    <w:rsid w:val="00EE2F08"/>
    <w:rsid w:val="00EE6036"/>
    <w:rsid w:val="00EE7546"/>
    <w:rsid w:val="00EE7C16"/>
    <w:rsid w:val="00EF0ECE"/>
    <w:rsid w:val="00EF1077"/>
    <w:rsid w:val="00EF3470"/>
    <w:rsid w:val="00EF49F4"/>
    <w:rsid w:val="00EF4F11"/>
    <w:rsid w:val="00EF57E1"/>
    <w:rsid w:val="00EF6142"/>
    <w:rsid w:val="00F00C50"/>
    <w:rsid w:val="00F03593"/>
    <w:rsid w:val="00F03C01"/>
    <w:rsid w:val="00F04D8F"/>
    <w:rsid w:val="00F0511A"/>
    <w:rsid w:val="00F06031"/>
    <w:rsid w:val="00F06A62"/>
    <w:rsid w:val="00F07672"/>
    <w:rsid w:val="00F1416F"/>
    <w:rsid w:val="00F14507"/>
    <w:rsid w:val="00F16785"/>
    <w:rsid w:val="00F178B9"/>
    <w:rsid w:val="00F21D22"/>
    <w:rsid w:val="00F22C88"/>
    <w:rsid w:val="00F24295"/>
    <w:rsid w:val="00F249D3"/>
    <w:rsid w:val="00F30163"/>
    <w:rsid w:val="00F30534"/>
    <w:rsid w:val="00F3121C"/>
    <w:rsid w:val="00F3281A"/>
    <w:rsid w:val="00F32A66"/>
    <w:rsid w:val="00F3347E"/>
    <w:rsid w:val="00F33C74"/>
    <w:rsid w:val="00F37371"/>
    <w:rsid w:val="00F37E2A"/>
    <w:rsid w:val="00F37EB5"/>
    <w:rsid w:val="00F408AA"/>
    <w:rsid w:val="00F41DF5"/>
    <w:rsid w:val="00F43D48"/>
    <w:rsid w:val="00F44A5F"/>
    <w:rsid w:val="00F456B6"/>
    <w:rsid w:val="00F460EB"/>
    <w:rsid w:val="00F517A5"/>
    <w:rsid w:val="00F53386"/>
    <w:rsid w:val="00F54727"/>
    <w:rsid w:val="00F57B2F"/>
    <w:rsid w:val="00F607D2"/>
    <w:rsid w:val="00F6224C"/>
    <w:rsid w:val="00F6314A"/>
    <w:rsid w:val="00F64E20"/>
    <w:rsid w:val="00F666FA"/>
    <w:rsid w:val="00F71093"/>
    <w:rsid w:val="00F71711"/>
    <w:rsid w:val="00F729A0"/>
    <w:rsid w:val="00F72EA4"/>
    <w:rsid w:val="00F73148"/>
    <w:rsid w:val="00F73DA2"/>
    <w:rsid w:val="00F75D2B"/>
    <w:rsid w:val="00F76297"/>
    <w:rsid w:val="00F76B13"/>
    <w:rsid w:val="00F76CC0"/>
    <w:rsid w:val="00F77052"/>
    <w:rsid w:val="00F774F1"/>
    <w:rsid w:val="00F775C2"/>
    <w:rsid w:val="00F83D84"/>
    <w:rsid w:val="00F83DB8"/>
    <w:rsid w:val="00F846CC"/>
    <w:rsid w:val="00F8532D"/>
    <w:rsid w:val="00F90642"/>
    <w:rsid w:val="00F92D05"/>
    <w:rsid w:val="00F95751"/>
    <w:rsid w:val="00F95C2D"/>
    <w:rsid w:val="00F9604C"/>
    <w:rsid w:val="00FA129C"/>
    <w:rsid w:val="00FA1E6F"/>
    <w:rsid w:val="00FA2DE9"/>
    <w:rsid w:val="00FA325D"/>
    <w:rsid w:val="00FA36A2"/>
    <w:rsid w:val="00FA400D"/>
    <w:rsid w:val="00FA5A8E"/>
    <w:rsid w:val="00FA6646"/>
    <w:rsid w:val="00FA715B"/>
    <w:rsid w:val="00FA7DE8"/>
    <w:rsid w:val="00FA7F74"/>
    <w:rsid w:val="00FB0537"/>
    <w:rsid w:val="00FB06CC"/>
    <w:rsid w:val="00FB11F4"/>
    <w:rsid w:val="00FB172C"/>
    <w:rsid w:val="00FB1914"/>
    <w:rsid w:val="00FB33B0"/>
    <w:rsid w:val="00FB42E2"/>
    <w:rsid w:val="00FB43A0"/>
    <w:rsid w:val="00FC00FF"/>
    <w:rsid w:val="00FC03AD"/>
    <w:rsid w:val="00FC25EE"/>
    <w:rsid w:val="00FC27E7"/>
    <w:rsid w:val="00FC7F1C"/>
    <w:rsid w:val="00FD023E"/>
    <w:rsid w:val="00FD0EC7"/>
    <w:rsid w:val="00FD0EF9"/>
    <w:rsid w:val="00FD1335"/>
    <w:rsid w:val="00FD407D"/>
    <w:rsid w:val="00FD6FAC"/>
    <w:rsid w:val="00FD7BB0"/>
    <w:rsid w:val="00FE0CD2"/>
    <w:rsid w:val="00FE13CC"/>
    <w:rsid w:val="00FE1D8A"/>
    <w:rsid w:val="00FE3783"/>
    <w:rsid w:val="00FE7C2C"/>
    <w:rsid w:val="00FF0DB3"/>
    <w:rsid w:val="00FF12FE"/>
    <w:rsid w:val="00FF16F9"/>
    <w:rsid w:val="00FF4702"/>
    <w:rsid w:val="00FF55B3"/>
    <w:rsid w:val="00FF7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f5f5f5,#f9f9f9"/>
    </o:shapedefaults>
    <o:shapelayout v:ext="edit">
      <o:idmap v:ext="edit" data="1"/>
    </o:shapelayout>
  </w:shapeDefaults>
  <w:decimalSymbol w:val="."/>
  <w:listSeparator w:val=","/>
  <w14:docId w14:val="3F8211ED"/>
  <w15:chartTrackingRefBased/>
  <w15:docId w15:val="{1BCC9364-59EE-4B86-9E6D-F23A9261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DDC"/>
    <w:rPr>
      <w:rFonts w:ascii="Palatino Linotype" w:hAnsi="Palatino Linotype"/>
      <w:sz w:val="18"/>
      <w:lang w:val="en-GB"/>
    </w:rPr>
  </w:style>
  <w:style w:type="paragraph" w:styleId="Heading1">
    <w:name w:val="heading 1"/>
    <w:basedOn w:val="Normal"/>
    <w:next w:val="Normal"/>
    <w:link w:val="Heading1Char"/>
    <w:autoRedefine/>
    <w:uiPriority w:val="9"/>
    <w:qFormat/>
    <w:rsid w:val="006245EE"/>
    <w:pPr>
      <w:keepNext/>
      <w:keepLines/>
      <w:tabs>
        <w:tab w:val="left" w:pos="1350"/>
      </w:tabs>
      <w:spacing w:before="150" w:after="150" w:line="276" w:lineRule="auto"/>
      <w:outlineLvl w:val="0"/>
    </w:pPr>
    <w:rPr>
      <w:rFonts w:ascii="Plantagenet Cherokee" w:hAnsi="Plantagenet Cherokee" w:cstheme="majorBidi"/>
      <w:b/>
      <w:bCs/>
      <w:iCs/>
      <w:caps/>
      <w:color w:val="074F6A"/>
      <w:sz w:val="24"/>
      <w:lang w:val="en-US"/>
    </w:rPr>
  </w:style>
  <w:style w:type="paragraph" w:styleId="Heading2">
    <w:name w:val="heading 2"/>
    <w:basedOn w:val="Normal"/>
    <w:next w:val="Normal"/>
    <w:link w:val="Heading2Char"/>
    <w:uiPriority w:val="9"/>
    <w:unhideWhenUsed/>
    <w:qFormat/>
    <w:rsid w:val="004C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EE"/>
    <w:rPr>
      <w:rFonts w:ascii="Plantagenet Cherokee" w:hAnsi="Plantagenet Cherokee" w:cstheme="majorBidi"/>
      <w:b/>
      <w:bCs/>
      <w:iCs/>
      <w:caps/>
      <w:color w:val="074F6A"/>
      <w:sz w:val="24"/>
    </w:rPr>
  </w:style>
  <w:style w:type="character" w:customStyle="1" w:styleId="Heading2Char">
    <w:name w:val="Heading 2 Char"/>
    <w:basedOn w:val="DefaultParagraphFont"/>
    <w:link w:val="Heading2"/>
    <w:uiPriority w:val="9"/>
    <w:rsid w:val="004C035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C03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C03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03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03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03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03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03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6204"/>
    <w:pPr>
      <w:spacing w:after="0" w:line="240" w:lineRule="auto"/>
    </w:pPr>
    <w:rPr>
      <w:rFonts w:ascii="Minion Pro SmBd" w:hAnsi="Minion Pro SmBd" w:cstheme="majorBidi"/>
      <w:b/>
      <w:bCs/>
      <w:color w:val="007370"/>
      <w:sz w:val="40"/>
      <w:szCs w:val="40"/>
      <w:lang w:val="en-US"/>
    </w:rPr>
  </w:style>
  <w:style w:type="character" w:customStyle="1" w:styleId="TitleChar">
    <w:name w:val="Title Char"/>
    <w:basedOn w:val="DefaultParagraphFont"/>
    <w:link w:val="Title"/>
    <w:uiPriority w:val="10"/>
    <w:rsid w:val="00BD6204"/>
    <w:rPr>
      <w:rFonts w:ascii="Minion Pro SmBd" w:hAnsi="Minion Pro SmBd" w:cstheme="majorBidi"/>
      <w:b/>
      <w:bCs/>
      <w:color w:val="007370"/>
      <w:sz w:val="40"/>
      <w:szCs w:val="40"/>
    </w:rPr>
  </w:style>
  <w:style w:type="paragraph" w:styleId="Subtitle">
    <w:name w:val="Subtitle"/>
    <w:basedOn w:val="Normal"/>
    <w:next w:val="Normal"/>
    <w:link w:val="SubtitleChar"/>
    <w:uiPriority w:val="11"/>
    <w:qFormat/>
    <w:rsid w:val="004C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035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5B"/>
    <w:rPr>
      <w:i/>
      <w:iCs/>
      <w:color w:val="404040" w:themeColor="text1" w:themeTint="BF"/>
      <w:lang w:val="en-GB"/>
    </w:rPr>
  </w:style>
  <w:style w:type="paragraph" w:styleId="ListParagraph">
    <w:name w:val="List Paragraph"/>
    <w:basedOn w:val="Normal"/>
    <w:uiPriority w:val="34"/>
    <w:qFormat/>
    <w:rsid w:val="004C035B"/>
    <w:pPr>
      <w:ind w:left="720"/>
      <w:contextualSpacing/>
    </w:pPr>
  </w:style>
  <w:style w:type="character" w:styleId="IntenseEmphasis">
    <w:name w:val="Intense Emphasis"/>
    <w:basedOn w:val="DefaultParagraphFont"/>
    <w:uiPriority w:val="21"/>
    <w:qFormat/>
    <w:rsid w:val="004C035B"/>
    <w:rPr>
      <w:i/>
      <w:iCs/>
      <w:color w:val="0F4761" w:themeColor="accent1" w:themeShade="BF"/>
    </w:rPr>
  </w:style>
  <w:style w:type="paragraph" w:styleId="IntenseQuote">
    <w:name w:val="Intense Quote"/>
    <w:basedOn w:val="Normal"/>
    <w:next w:val="Normal"/>
    <w:link w:val="IntenseQuoteChar"/>
    <w:uiPriority w:val="30"/>
    <w:qFormat/>
    <w:rsid w:val="004C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5B"/>
    <w:rPr>
      <w:i/>
      <w:iCs/>
      <w:color w:val="0F4761" w:themeColor="accent1" w:themeShade="BF"/>
      <w:lang w:val="en-GB"/>
    </w:rPr>
  </w:style>
  <w:style w:type="character" w:styleId="IntenseReference">
    <w:name w:val="Intense Reference"/>
    <w:basedOn w:val="DefaultParagraphFont"/>
    <w:uiPriority w:val="32"/>
    <w:qFormat/>
    <w:rsid w:val="004C035B"/>
    <w:rPr>
      <w:b/>
      <w:bCs/>
      <w:smallCaps/>
      <w:color w:val="0F4761" w:themeColor="accent1" w:themeShade="BF"/>
      <w:spacing w:val="5"/>
    </w:rPr>
  </w:style>
  <w:style w:type="character" w:styleId="Hyperlink">
    <w:name w:val="Hyperlink"/>
    <w:basedOn w:val="DefaultParagraphFont"/>
    <w:uiPriority w:val="99"/>
    <w:unhideWhenUsed/>
    <w:rsid w:val="004C035B"/>
    <w:rPr>
      <w:color w:val="467886" w:themeColor="hyperlink"/>
      <w:u w:val="single"/>
    </w:rPr>
  </w:style>
  <w:style w:type="paragraph" w:styleId="NoSpacing">
    <w:name w:val="No Spacing"/>
    <w:link w:val="NoSpacingChar"/>
    <w:uiPriority w:val="1"/>
    <w:qFormat/>
    <w:rsid w:val="004C035B"/>
    <w:pPr>
      <w:spacing w:after="0" w:line="240" w:lineRule="auto"/>
    </w:pPr>
    <w:rPr>
      <w:lang w:val="en-GB"/>
    </w:rPr>
  </w:style>
  <w:style w:type="character" w:customStyle="1" w:styleId="UnresolvedMention">
    <w:name w:val="Unresolved Mention"/>
    <w:basedOn w:val="DefaultParagraphFont"/>
    <w:uiPriority w:val="99"/>
    <w:semiHidden/>
    <w:unhideWhenUsed/>
    <w:rsid w:val="004C035B"/>
    <w:rPr>
      <w:color w:val="605E5C"/>
      <w:shd w:val="clear" w:color="auto" w:fill="E1DFDD"/>
    </w:rPr>
  </w:style>
  <w:style w:type="character" w:styleId="FollowedHyperlink">
    <w:name w:val="FollowedHyperlink"/>
    <w:basedOn w:val="DefaultParagraphFont"/>
    <w:uiPriority w:val="99"/>
    <w:semiHidden/>
    <w:unhideWhenUsed/>
    <w:rsid w:val="00092B1C"/>
    <w:rPr>
      <w:color w:val="96607D" w:themeColor="followedHyperlink"/>
      <w:u w:val="single"/>
    </w:rPr>
  </w:style>
  <w:style w:type="table" w:styleId="TableGrid">
    <w:name w:val="Table Grid"/>
    <w:basedOn w:val="TableNormal"/>
    <w:uiPriority w:val="39"/>
    <w:rsid w:val="00DE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aliases w:val="JHRR"/>
    <w:basedOn w:val="TableNormal"/>
    <w:uiPriority w:val="46"/>
    <w:rsid w:val="00922922"/>
    <w:pPr>
      <w:spacing w:after="0" w:line="240" w:lineRule="auto"/>
      <w:jc w:val="center"/>
    </w:pPr>
    <w:rPr>
      <w:rFonts w:ascii="Arial Narrow" w:hAnsi="Arial Narrow"/>
      <w:b/>
      <w:sz w:val="16"/>
    </w:rPr>
    <w:tblPr>
      <w:tblStyleColBandSize w:val="1"/>
      <w:tblInd w:w="0" w:type="dxa"/>
      <w:tblBorders>
        <w:bottom w:val="single" w:sz="2" w:space="0" w:color="auto"/>
      </w:tblBorders>
      <w:tblCellMar>
        <w:top w:w="0" w:type="dxa"/>
        <w:left w:w="108" w:type="dxa"/>
        <w:bottom w:w="0" w:type="dxa"/>
        <w:right w:w="108" w:type="dxa"/>
      </w:tblCellMar>
    </w:tblPr>
    <w:tcPr>
      <w:vAlign w:val="center"/>
    </w:tcPr>
    <w:tblStylePr w:type="firstRow">
      <w:rPr>
        <w:rFonts w:ascii="Palatino Linotype" w:hAnsi="Palatino Linotype"/>
        <w:b/>
        <w:bCs/>
        <w:color w:val="000000" w:themeColor="text1"/>
        <w:sz w:val="20"/>
      </w:rPr>
      <w:tblPr/>
      <w:tcPr>
        <w:tcBorders>
          <w:top w:val="single" w:sz="2" w:space="0" w:color="auto"/>
          <w:bottom w:val="single" w:sz="2" w:space="0" w:color="auto"/>
        </w:tcBorders>
      </w:tcPr>
    </w:tblStylePr>
    <w:tblStylePr w:type="lastRow">
      <w:rPr>
        <w:rFonts w:ascii="Palatino Linotype" w:hAnsi="Palatino Linotype"/>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paragraph" w:customStyle="1" w:styleId="Body">
    <w:name w:val="Body"/>
    <w:basedOn w:val="Normal"/>
    <w:link w:val="BodyChar"/>
    <w:qFormat/>
    <w:rsid w:val="00AD00B5"/>
    <w:pPr>
      <w:spacing w:after="165" w:line="276" w:lineRule="auto"/>
      <w:jc w:val="both"/>
    </w:pPr>
    <w:rPr>
      <w:rFonts w:ascii="Plantagenet Cherokee" w:hAnsi="Plantagenet Cherokee" w:cs="Arial"/>
      <w:sz w:val="20"/>
      <w:szCs w:val="18"/>
      <w:lang w:val="en-US"/>
    </w:rPr>
  </w:style>
  <w:style w:type="character" w:customStyle="1" w:styleId="BodyChar">
    <w:name w:val="Body Char"/>
    <w:basedOn w:val="DefaultParagraphFont"/>
    <w:link w:val="Body"/>
    <w:rsid w:val="00AD00B5"/>
    <w:rPr>
      <w:rFonts w:ascii="Plantagenet Cherokee" w:hAnsi="Plantagenet Cherokee" w:cs="Arial"/>
      <w:sz w:val="20"/>
      <w:szCs w:val="18"/>
    </w:rPr>
  </w:style>
  <w:style w:type="table" w:styleId="GridTable1Light-Accent1">
    <w:name w:val="Grid Table 1 Light Accent 1"/>
    <w:basedOn w:val="TableNormal"/>
    <w:uiPriority w:val="46"/>
    <w:rsid w:val="00DE0FFD"/>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E0F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erences">
    <w:name w:val="References"/>
    <w:link w:val="ReferencesChar"/>
    <w:qFormat/>
    <w:rsid w:val="0022392C"/>
    <w:pPr>
      <w:numPr>
        <w:numId w:val="1"/>
      </w:numPr>
      <w:spacing w:line="276" w:lineRule="auto"/>
      <w:jc w:val="both"/>
    </w:pPr>
    <w:rPr>
      <w:rFonts w:ascii="Barlow" w:hAnsi="Barlow"/>
      <w:sz w:val="18"/>
      <w:szCs w:val="18"/>
      <w:lang w:val="en-GB"/>
    </w:rPr>
  </w:style>
  <w:style w:type="character" w:customStyle="1" w:styleId="ReferencesChar">
    <w:name w:val="References Char"/>
    <w:basedOn w:val="DefaultParagraphFont"/>
    <w:link w:val="References"/>
    <w:rsid w:val="0022392C"/>
    <w:rPr>
      <w:rFonts w:ascii="Barlow" w:hAnsi="Barlow"/>
      <w:sz w:val="18"/>
      <w:szCs w:val="18"/>
      <w:lang w:val="en-GB"/>
    </w:rPr>
  </w:style>
  <w:style w:type="paragraph" w:styleId="Header">
    <w:name w:val="header"/>
    <w:basedOn w:val="Normal"/>
    <w:link w:val="HeaderChar"/>
    <w:uiPriority w:val="99"/>
    <w:unhideWhenUsed/>
    <w:rsid w:val="005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DA"/>
    <w:rPr>
      <w:lang w:val="en-GB"/>
    </w:rPr>
  </w:style>
  <w:style w:type="paragraph" w:styleId="Footer">
    <w:name w:val="footer"/>
    <w:basedOn w:val="Normal"/>
    <w:link w:val="FooterChar"/>
    <w:uiPriority w:val="99"/>
    <w:unhideWhenUsed/>
    <w:rsid w:val="005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DA"/>
    <w:rPr>
      <w:lang w:val="en-GB"/>
    </w:rPr>
  </w:style>
  <w:style w:type="paragraph" w:styleId="Caption">
    <w:name w:val="caption"/>
    <w:basedOn w:val="Normal"/>
    <w:next w:val="Normal"/>
    <w:uiPriority w:val="35"/>
    <w:unhideWhenUsed/>
    <w:qFormat/>
    <w:rsid w:val="006245EE"/>
    <w:pPr>
      <w:spacing w:before="240" w:after="100" w:line="276" w:lineRule="auto"/>
    </w:pPr>
    <w:rPr>
      <w:rFonts w:ascii="Plantagenet Cherokee" w:hAnsi="Plantagenet Cherokee" w:cs="Calibri"/>
      <w:b/>
      <w:i/>
      <w:color w:val="074F6A"/>
      <w:sz w:val="16"/>
      <w:szCs w:val="14"/>
    </w:rPr>
  </w:style>
  <w:style w:type="character" w:styleId="Strong">
    <w:name w:val="Strong"/>
    <w:basedOn w:val="DefaultParagraphFont"/>
    <w:uiPriority w:val="22"/>
    <w:qFormat/>
    <w:rsid w:val="002D5DB5"/>
    <w:rPr>
      <w:b/>
      <w:bCs/>
    </w:rPr>
  </w:style>
  <w:style w:type="paragraph" w:styleId="NormalWeb">
    <w:name w:val="Normal (Web)"/>
    <w:basedOn w:val="Normal"/>
    <w:uiPriority w:val="99"/>
    <w:unhideWhenUsed/>
    <w:rsid w:val="002D5D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D5DB5"/>
    <w:rPr>
      <w:i/>
      <w:iCs/>
    </w:rPr>
  </w:style>
  <w:style w:type="table" w:customStyle="1" w:styleId="LMJ">
    <w:name w:val="LMJ"/>
    <w:basedOn w:val="TableNormal"/>
    <w:uiPriority w:val="99"/>
    <w:rsid w:val="008629A6"/>
    <w:pPr>
      <w:spacing w:before="120" w:after="120" w:line="240" w:lineRule="auto"/>
    </w:pPr>
    <w:rPr>
      <w:rFonts w:ascii="Minion Pro" w:hAnsi="Minion Pro"/>
      <w:color w:val="000000" w:themeColor="text1"/>
      <w:sz w:val="16"/>
      <w14:textFill>
        <w14:gradFill>
          <w14:gsLst>
            <w14:gs w14:pos="0">
              <w14:schemeClr w14:val="tx1"/>
            </w14:gs>
            <w14:gs w14:pos="40000">
              <w14:srgbClr w14:val="004846"/>
            </w14:gs>
            <w14:gs w14:pos="68000">
              <w14:srgbClr w14:val="002A29"/>
            </w14:gs>
            <w14:gs w14:pos="100000">
              <w14:srgbClr w14:val="007370"/>
            </w14:gs>
          </w14:gsLst>
          <w14:lin w14:ang="2700000" w14:scaled="0"/>
        </w14:gradFill>
      </w14:textFill>
    </w:rPr>
    <w:tblPr>
      <w:tblStyleRowBandSize w:val="1"/>
      <w:tblStyleCol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pPr>
        <w:jc w:val="left"/>
      </w:pPr>
      <w:rPr>
        <w:rFonts w:ascii="Kermit Thin Expanded" w:hAnsi="Kermit Thin Expanded"/>
        <w:b/>
        <w:color w:val="000000" w:themeColor="text1"/>
        <w:sz w:val="16"/>
        <w14:textFill>
          <w14:solidFill>
            <w14:schemeClr w14:val="tx1"/>
          </w14:solidFill>
        </w14:textFill>
      </w:rPr>
      <w:tblPr/>
      <w:tcPr>
        <w:tcBorders>
          <w:top w:val="single" w:sz="2" w:space="0" w:color="004846"/>
          <w:bottom w:val="single" w:sz="2" w:space="0" w:color="004846"/>
        </w:tcBorders>
        <w:shd w:val="clear" w:color="auto" w:fill="auto"/>
      </w:tcPr>
    </w:tblStylePr>
    <w:tblStylePr w:type="lastRow">
      <w:rPr>
        <w:rFonts w:ascii="Kermit Thin Expanded" w:hAnsi="Kermit Thin Expanded"/>
        <w:color w:val="000000" w:themeColor="text1"/>
        <w:sz w:val="16"/>
      </w:rPr>
    </w:tblStylePr>
    <w:tblStylePr w:type="firstCol">
      <w:pPr>
        <w:jc w:val="left"/>
      </w:pPr>
      <w:rPr>
        <w:rFonts w:ascii="Kermit Thin Expanded" w:hAnsi="Kermit Thin Expanded"/>
        <w:b/>
        <w:color w:val="000000" w:themeColor="text1"/>
        <w:sz w:val="16"/>
      </w:rPr>
    </w:tblStylePr>
    <w:tblStylePr w:type="lastCol">
      <w:rPr>
        <w:rFonts w:ascii="Kermit Thin Expanded" w:hAnsi="Kermit Thin Expanded"/>
        <w:color w:val="000000" w:themeColor="text1"/>
        <w:sz w:val="16"/>
      </w:rPr>
    </w:tblStylePr>
    <w:tblStylePr w:type="band1Vert">
      <w:rPr>
        <w:rFonts w:ascii="Kermit Thin Expanded" w:hAnsi="Kermit Thin Expanded"/>
        <w:color w:val="000000" w:themeColor="text1"/>
        <w:sz w:val="16"/>
      </w:rPr>
    </w:tblStylePr>
    <w:tblStylePr w:type="band2Vert">
      <w:rPr>
        <w:rFonts w:ascii="Kermit Thin Expanded" w:hAnsi="Kermit Thin Expanded"/>
        <w:color w:val="000000" w:themeColor="text1"/>
        <w:sz w:val="16"/>
      </w:rPr>
    </w:tblStylePr>
    <w:tblStylePr w:type="band1Horz">
      <w:rPr>
        <w:rFonts w:ascii="Kermit Thin Expanded" w:hAnsi="Kermit Thin Expanded"/>
        <w:color w:val="000000" w:themeColor="text1"/>
        <w:sz w:val="16"/>
      </w:rPr>
    </w:tblStylePr>
    <w:tblStylePr w:type="band2Horz">
      <w:rPr>
        <w:rFonts w:ascii="Kermit Thin Expanded" w:hAnsi="Kermit Thin Expanded"/>
        <w:color w:val="000000" w:themeColor="text1"/>
        <w:sz w:val="16"/>
      </w:rPr>
    </w:tblStylePr>
  </w:style>
  <w:style w:type="paragraph" w:customStyle="1" w:styleId="Abstract">
    <w:name w:val="Abstract"/>
    <w:basedOn w:val="NoSpacing"/>
    <w:link w:val="AbstractChar"/>
    <w:qFormat/>
    <w:rsid w:val="00B46CE3"/>
    <w:pPr>
      <w:spacing w:line="276" w:lineRule="auto"/>
      <w:jc w:val="both"/>
    </w:pPr>
    <w:rPr>
      <w:rFonts w:ascii="Minion Pro" w:hAnsi="Minion Pro" w:cs="Khmer UI"/>
      <w:i/>
      <w:iCs/>
      <w:sz w:val="16"/>
      <w:szCs w:val="18"/>
    </w:rPr>
  </w:style>
  <w:style w:type="character" w:customStyle="1" w:styleId="NoSpacingChar">
    <w:name w:val="No Spacing Char"/>
    <w:basedOn w:val="DefaultParagraphFont"/>
    <w:link w:val="NoSpacing"/>
    <w:uiPriority w:val="1"/>
    <w:rsid w:val="001677CE"/>
    <w:rPr>
      <w:lang w:val="en-GB"/>
    </w:rPr>
  </w:style>
  <w:style w:type="character" w:customStyle="1" w:styleId="AbstractChar">
    <w:name w:val="Abstract Char"/>
    <w:basedOn w:val="NoSpacingChar"/>
    <w:link w:val="Abstract"/>
    <w:rsid w:val="00B46CE3"/>
    <w:rPr>
      <w:rFonts w:ascii="Minion Pro" w:hAnsi="Minion Pro" w:cs="Khmer UI"/>
      <w:i/>
      <w:iCs/>
      <w:sz w:val="16"/>
      <w:szCs w:val="18"/>
      <w:lang w:val="en-GB"/>
    </w:rPr>
  </w:style>
  <w:style w:type="table" w:styleId="PlainTable5">
    <w:name w:val="Plain Table 5"/>
    <w:basedOn w:val="TableNormal"/>
    <w:uiPriority w:val="45"/>
    <w:rsid w:val="00CE3F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820A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003B"/>
    <w:pPr>
      <w:spacing w:after="0" w:line="240" w:lineRule="auto"/>
    </w:pPr>
    <w:tblPr>
      <w:tblStyleRowBandSize w:val="1"/>
      <w:tblStyleColBandSize w:val="1"/>
      <w:tblInd w:w="0" w:type="dxa"/>
      <w:tblBorders>
        <w:top w:val="single" w:sz="4" w:space="0" w:color="EAEAEA"/>
        <w:bottom w:val="single" w:sz="4" w:space="0" w:color="EAEAEA"/>
      </w:tblBorders>
      <w:tblCellMar>
        <w:top w:w="0" w:type="dxa"/>
        <w:left w:w="108" w:type="dxa"/>
        <w:bottom w:w="0" w:type="dxa"/>
        <w:right w:w="108" w:type="dxa"/>
      </w:tblCellMar>
    </w:tblPr>
    <w:tblStylePr w:type="firstRow">
      <w:rPr>
        <w:b/>
        <w:bCs/>
      </w:rPr>
      <w:tblPr/>
      <w:tcPr>
        <w:tcBorders>
          <w:top w:val="single" w:sz="4" w:space="0" w:color="004846"/>
          <w:bottom w:val="nil"/>
        </w:tcBorders>
      </w:tcPr>
    </w:tblStylePr>
    <w:tblStylePr w:type="lastRow">
      <w:rPr>
        <w:b/>
        <w:bCs/>
      </w:rPr>
      <w:tblPr/>
      <w:tcPr>
        <w:tcBorders>
          <w:top w:val="single" w:sz="4" w:space="0" w:color="004846"/>
          <w:bottom w:val="single" w:sz="4" w:space="0" w:color="004846"/>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B008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6627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9F0970"/>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5">
    <w:name w:val="Grid Table 3 Accent 5"/>
    <w:basedOn w:val="TableNormal"/>
    <w:uiPriority w:val="48"/>
    <w:rsid w:val="009F0970"/>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97">
      <w:bodyDiv w:val="1"/>
      <w:marLeft w:val="0"/>
      <w:marRight w:val="0"/>
      <w:marTop w:val="0"/>
      <w:marBottom w:val="0"/>
      <w:divBdr>
        <w:top w:val="none" w:sz="0" w:space="0" w:color="auto"/>
        <w:left w:val="none" w:sz="0" w:space="0" w:color="auto"/>
        <w:bottom w:val="none" w:sz="0" w:space="0" w:color="auto"/>
        <w:right w:val="none" w:sz="0" w:space="0" w:color="auto"/>
      </w:divBdr>
    </w:div>
    <w:div w:id="19361219">
      <w:bodyDiv w:val="1"/>
      <w:marLeft w:val="0"/>
      <w:marRight w:val="0"/>
      <w:marTop w:val="0"/>
      <w:marBottom w:val="0"/>
      <w:divBdr>
        <w:top w:val="none" w:sz="0" w:space="0" w:color="auto"/>
        <w:left w:val="none" w:sz="0" w:space="0" w:color="auto"/>
        <w:bottom w:val="none" w:sz="0" w:space="0" w:color="auto"/>
        <w:right w:val="none" w:sz="0" w:space="0" w:color="auto"/>
      </w:divBdr>
    </w:div>
    <w:div w:id="129520680">
      <w:bodyDiv w:val="1"/>
      <w:marLeft w:val="0"/>
      <w:marRight w:val="0"/>
      <w:marTop w:val="0"/>
      <w:marBottom w:val="0"/>
      <w:divBdr>
        <w:top w:val="none" w:sz="0" w:space="0" w:color="auto"/>
        <w:left w:val="none" w:sz="0" w:space="0" w:color="auto"/>
        <w:bottom w:val="none" w:sz="0" w:space="0" w:color="auto"/>
        <w:right w:val="none" w:sz="0" w:space="0" w:color="auto"/>
      </w:divBdr>
    </w:div>
    <w:div w:id="143668701">
      <w:bodyDiv w:val="1"/>
      <w:marLeft w:val="0"/>
      <w:marRight w:val="0"/>
      <w:marTop w:val="0"/>
      <w:marBottom w:val="0"/>
      <w:divBdr>
        <w:top w:val="none" w:sz="0" w:space="0" w:color="auto"/>
        <w:left w:val="none" w:sz="0" w:space="0" w:color="auto"/>
        <w:bottom w:val="none" w:sz="0" w:space="0" w:color="auto"/>
        <w:right w:val="none" w:sz="0" w:space="0" w:color="auto"/>
      </w:divBdr>
    </w:div>
    <w:div w:id="149058619">
      <w:bodyDiv w:val="1"/>
      <w:marLeft w:val="0"/>
      <w:marRight w:val="0"/>
      <w:marTop w:val="0"/>
      <w:marBottom w:val="0"/>
      <w:divBdr>
        <w:top w:val="none" w:sz="0" w:space="0" w:color="auto"/>
        <w:left w:val="none" w:sz="0" w:space="0" w:color="auto"/>
        <w:bottom w:val="none" w:sz="0" w:space="0" w:color="auto"/>
        <w:right w:val="none" w:sz="0" w:space="0" w:color="auto"/>
      </w:divBdr>
      <w:divsChild>
        <w:div w:id="467554083">
          <w:marLeft w:val="0"/>
          <w:marRight w:val="0"/>
          <w:marTop w:val="0"/>
          <w:marBottom w:val="0"/>
          <w:divBdr>
            <w:top w:val="none" w:sz="0" w:space="0" w:color="auto"/>
            <w:left w:val="none" w:sz="0" w:space="0" w:color="auto"/>
            <w:bottom w:val="none" w:sz="0" w:space="0" w:color="auto"/>
            <w:right w:val="none" w:sz="0" w:space="0" w:color="auto"/>
          </w:divBdr>
          <w:divsChild>
            <w:div w:id="1375739450">
              <w:marLeft w:val="0"/>
              <w:marRight w:val="0"/>
              <w:marTop w:val="0"/>
              <w:marBottom w:val="0"/>
              <w:divBdr>
                <w:top w:val="none" w:sz="0" w:space="0" w:color="auto"/>
                <w:left w:val="none" w:sz="0" w:space="0" w:color="auto"/>
                <w:bottom w:val="none" w:sz="0" w:space="0" w:color="auto"/>
                <w:right w:val="none" w:sz="0" w:space="0" w:color="auto"/>
              </w:divBdr>
              <w:divsChild>
                <w:div w:id="1309477080">
                  <w:marLeft w:val="0"/>
                  <w:marRight w:val="0"/>
                  <w:marTop w:val="0"/>
                  <w:marBottom w:val="0"/>
                  <w:divBdr>
                    <w:top w:val="none" w:sz="0" w:space="0" w:color="auto"/>
                    <w:left w:val="none" w:sz="0" w:space="0" w:color="auto"/>
                    <w:bottom w:val="none" w:sz="0" w:space="0" w:color="auto"/>
                    <w:right w:val="none" w:sz="0" w:space="0" w:color="auto"/>
                  </w:divBdr>
                  <w:divsChild>
                    <w:div w:id="1079249562">
                      <w:marLeft w:val="0"/>
                      <w:marRight w:val="0"/>
                      <w:marTop w:val="0"/>
                      <w:marBottom w:val="0"/>
                      <w:divBdr>
                        <w:top w:val="none" w:sz="0" w:space="0" w:color="auto"/>
                        <w:left w:val="none" w:sz="0" w:space="0" w:color="auto"/>
                        <w:bottom w:val="none" w:sz="0" w:space="0" w:color="auto"/>
                        <w:right w:val="none" w:sz="0" w:space="0" w:color="auto"/>
                      </w:divBdr>
                      <w:divsChild>
                        <w:div w:id="1556620699">
                          <w:marLeft w:val="0"/>
                          <w:marRight w:val="0"/>
                          <w:marTop w:val="0"/>
                          <w:marBottom w:val="0"/>
                          <w:divBdr>
                            <w:top w:val="none" w:sz="0" w:space="0" w:color="auto"/>
                            <w:left w:val="none" w:sz="0" w:space="0" w:color="auto"/>
                            <w:bottom w:val="none" w:sz="0" w:space="0" w:color="auto"/>
                            <w:right w:val="none" w:sz="0" w:space="0" w:color="auto"/>
                          </w:divBdr>
                          <w:divsChild>
                            <w:div w:id="1250307091">
                              <w:marLeft w:val="0"/>
                              <w:marRight w:val="0"/>
                              <w:marTop w:val="0"/>
                              <w:marBottom w:val="0"/>
                              <w:divBdr>
                                <w:top w:val="none" w:sz="0" w:space="0" w:color="auto"/>
                                <w:left w:val="none" w:sz="0" w:space="0" w:color="auto"/>
                                <w:bottom w:val="none" w:sz="0" w:space="0" w:color="auto"/>
                                <w:right w:val="none" w:sz="0" w:space="0" w:color="auto"/>
                              </w:divBdr>
                              <w:divsChild>
                                <w:div w:id="15143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611">
                          <w:marLeft w:val="0"/>
                          <w:marRight w:val="0"/>
                          <w:marTop w:val="0"/>
                          <w:marBottom w:val="0"/>
                          <w:divBdr>
                            <w:top w:val="none" w:sz="0" w:space="0" w:color="auto"/>
                            <w:left w:val="none" w:sz="0" w:space="0" w:color="auto"/>
                            <w:bottom w:val="none" w:sz="0" w:space="0" w:color="auto"/>
                            <w:right w:val="none" w:sz="0" w:space="0" w:color="auto"/>
                          </w:divBdr>
                          <w:divsChild>
                            <w:div w:id="1306010566">
                              <w:marLeft w:val="0"/>
                              <w:marRight w:val="0"/>
                              <w:marTop w:val="0"/>
                              <w:marBottom w:val="0"/>
                              <w:divBdr>
                                <w:top w:val="none" w:sz="0" w:space="0" w:color="auto"/>
                                <w:left w:val="none" w:sz="0" w:space="0" w:color="auto"/>
                                <w:bottom w:val="none" w:sz="0" w:space="0" w:color="auto"/>
                                <w:right w:val="none" w:sz="0" w:space="0" w:color="auto"/>
                              </w:divBdr>
                              <w:divsChild>
                                <w:div w:id="983315542">
                                  <w:marLeft w:val="0"/>
                                  <w:marRight w:val="0"/>
                                  <w:marTop w:val="0"/>
                                  <w:marBottom w:val="0"/>
                                  <w:divBdr>
                                    <w:top w:val="none" w:sz="0" w:space="0" w:color="auto"/>
                                    <w:left w:val="none" w:sz="0" w:space="0" w:color="auto"/>
                                    <w:bottom w:val="none" w:sz="0" w:space="0" w:color="auto"/>
                                    <w:right w:val="none" w:sz="0" w:space="0" w:color="auto"/>
                                  </w:divBdr>
                                  <w:divsChild>
                                    <w:div w:id="18460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4499">
      <w:bodyDiv w:val="1"/>
      <w:marLeft w:val="0"/>
      <w:marRight w:val="0"/>
      <w:marTop w:val="0"/>
      <w:marBottom w:val="0"/>
      <w:divBdr>
        <w:top w:val="none" w:sz="0" w:space="0" w:color="auto"/>
        <w:left w:val="none" w:sz="0" w:space="0" w:color="auto"/>
        <w:bottom w:val="none" w:sz="0" w:space="0" w:color="auto"/>
        <w:right w:val="none" w:sz="0" w:space="0" w:color="auto"/>
      </w:divBdr>
    </w:div>
    <w:div w:id="219757646">
      <w:bodyDiv w:val="1"/>
      <w:marLeft w:val="0"/>
      <w:marRight w:val="0"/>
      <w:marTop w:val="0"/>
      <w:marBottom w:val="0"/>
      <w:divBdr>
        <w:top w:val="none" w:sz="0" w:space="0" w:color="auto"/>
        <w:left w:val="none" w:sz="0" w:space="0" w:color="auto"/>
        <w:bottom w:val="none" w:sz="0" w:space="0" w:color="auto"/>
        <w:right w:val="none" w:sz="0" w:space="0" w:color="auto"/>
      </w:divBdr>
    </w:div>
    <w:div w:id="248925042">
      <w:bodyDiv w:val="1"/>
      <w:marLeft w:val="0"/>
      <w:marRight w:val="0"/>
      <w:marTop w:val="0"/>
      <w:marBottom w:val="0"/>
      <w:divBdr>
        <w:top w:val="none" w:sz="0" w:space="0" w:color="auto"/>
        <w:left w:val="none" w:sz="0" w:space="0" w:color="auto"/>
        <w:bottom w:val="none" w:sz="0" w:space="0" w:color="auto"/>
        <w:right w:val="none" w:sz="0" w:space="0" w:color="auto"/>
      </w:divBdr>
      <w:divsChild>
        <w:div w:id="1608468479">
          <w:marLeft w:val="0"/>
          <w:marRight w:val="0"/>
          <w:marTop w:val="0"/>
          <w:marBottom w:val="0"/>
          <w:divBdr>
            <w:top w:val="none" w:sz="0" w:space="0" w:color="auto"/>
            <w:left w:val="none" w:sz="0" w:space="0" w:color="auto"/>
            <w:bottom w:val="none" w:sz="0" w:space="0" w:color="auto"/>
            <w:right w:val="none" w:sz="0" w:space="0" w:color="auto"/>
          </w:divBdr>
          <w:divsChild>
            <w:div w:id="533425392">
              <w:marLeft w:val="0"/>
              <w:marRight w:val="0"/>
              <w:marTop w:val="0"/>
              <w:marBottom w:val="0"/>
              <w:divBdr>
                <w:top w:val="none" w:sz="0" w:space="0" w:color="auto"/>
                <w:left w:val="none" w:sz="0" w:space="0" w:color="auto"/>
                <w:bottom w:val="none" w:sz="0" w:space="0" w:color="auto"/>
                <w:right w:val="none" w:sz="0" w:space="0" w:color="auto"/>
              </w:divBdr>
              <w:divsChild>
                <w:div w:id="738409063">
                  <w:marLeft w:val="0"/>
                  <w:marRight w:val="0"/>
                  <w:marTop w:val="0"/>
                  <w:marBottom w:val="0"/>
                  <w:divBdr>
                    <w:top w:val="none" w:sz="0" w:space="0" w:color="auto"/>
                    <w:left w:val="none" w:sz="0" w:space="0" w:color="auto"/>
                    <w:bottom w:val="none" w:sz="0" w:space="0" w:color="auto"/>
                    <w:right w:val="none" w:sz="0" w:space="0" w:color="auto"/>
                  </w:divBdr>
                  <w:divsChild>
                    <w:div w:id="583690038">
                      <w:marLeft w:val="0"/>
                      <w:marRight w:val="0"/>
                      <w:marTop w:val="0"/>
                      <w:marBottom w:val="0"/>
                      <w:divBdr>
                        <w:top w:val="none" w:sz="0" w:space="0" w:color="auto"/>
                        <w:left w:val="none" w:sz="0" w:space="0" w:color="auto"/>
                        <w:bottom w:val="none" w:sz="0" w:space="0" w:color="auto"/>
                        <w:right w:val="none" w:sz="0" w:space="0" w:color="auto"/>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841120388">
                              <w:marLeft w:val="0"/>
                              <w:marRight w:val="0"/>
                              <w:marTop w:val="0"/>
                              <w:marBottom w:val="0"/>
                              <w:divBdr>
                                <w:top w:val="none" w:sz="0" w:space="0" w:color="auto"/>
                                <w:left w:val="none" w:sz="0" w:space="0" w:color="auto"/>
                                <w:bottom w:val="none" w:sz="0" w:space="0" w:color="auto"/>
                                <w:right w:val="none" w:sz="0" w:space="0" w:color="auto"/>
                              </w:divBdr>
                              <w:divsChild>
                                <w:div w:id="13264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827">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1063870790">
                                  <w:marLeft w:val="0"/>
                                  <w:marRight w:val="0"/>
                                  <w:marTop w:val="0"/>
                                  <w:marBottom w:val="0"/>
                                  <w:divBdr>
                                    <w:top w:val="none" w:sz="0" w:space="0" w:color="auto"/>
                                    <w:left w:val="none" w:sz="0" w:space="0" w:color="auto"/>
                                    <w:bottom w:val="none" w:sz="0" w:space="0" w:color="auto"/>
                                    <w:right w:val="none" w:sz="0" w:space="0" w:color="auto"/>
                                  </w:divBdr>
                                  <w:divsChild>
                                    <w:div w:id="1433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31581">
      <w:bodyDiv w:val="1"/>
      <w:marLeft w:val="0"/>
      <w:marRight w:val="0"/>
      <w:marTop w:val="0"/>
      <w:marBottom w:val="0"/>
      <w:divBdr>
        <w:top w:val="none" w:sz="0" w:space="0" w:color="auto"/>
        <w:left w:val="none" w:sz="0" w:space="0" w:color="auto"/>
        <w:bottom w:val="none" w:sz="0" w:space="0" w:color="auto"/>
        <w:right w:val="none" w:sz="0" w:space="0" w:color="auto"/>
      </w:divBdr>
      <w:divsChild>
        <w:div w:id="984624138">
          <w:marLeft w:val="0"/>
          <w:marRight w:val="0"/>
          <w:marTop w:val="0"/>
          <w:marBottom w:val="0"/>
          <w:divBdr>
            <w:top w:val="none" w:sz="0" w:space="0" w:color="auto"/>
            <w:left w:val="none" w:sz="0" w:space="0" w:color="auto"/>
            <w:bottom w:val="none" w:sz="0" w:space="0" w:color="auto"/>
            <w:right w:val="none" w:sz="0" w:space="0" w:color="auto"/>
          </w:divBdr>
          <w:divsChild>
            <w:div w:id="854658868">
              <w:marLeft w:val="0"/>
              <w:marRight w:val="0"/>
              <w:marTop w:val="0"/>
              <w:marBottom w:val="0"/>
              <w:divBdr>
                <w:top w:val="none" w:sz="0" w:space="0" w:color="auto"/>
                <w:left w:val="none" w:sz="0" w:space="0" w:color="auto"/>
                <w:bottom w:val="none" w:sz="0" w:space="0" w:color="auto"/>
                <w:right w:val="none" w:sz="0" w:space="0" w:color="auto"/>
              </w:divBdr>
              <w:divsChild>
                <w:div w:id="1749763021">
                  <w:marLeft w:val="0"/>
                  <w:marRight w:val="0"/>
                  <w:marTop w:val="0"/>
                  <w:marBottom w:val="0"/>
                  <w:divBdr>
                    <w:top w:val="none" w:sz="0" w:space="0" w:color="auto"/>
                    <w:left w:val="none" w:sz="0" w:space="0" w:color="auto"/>
                    <w:bottom w:val="none" w:sz="0" w:space="0" w:color="auto"/>
                    <w:right w:val="none" w:sz="0" w:space="0" w:color="auto"/>
                  </w:divBdr>
                  <w:divsChild>
                    <w:div w:id="870611429">
                      <w:marLeft w:val="0"/>
                      <w:marRight w:val="0"/>
                      <w:marTop w:val="0"/>
                      <w:marBottom w:val="0"/>
                      <w:divBdr>
                        <w:top w:val="none" w:sz="0" w:space="0" w:color="auto"/>
                        <w:left w:val="none" w:sz="0" w:space="0" w:color="auto"/>
                        <w:bottom w:val="none" w:sz="0" w:space="0" w:color="auto"/>
                        <w:right w:val="none" w:sz="0" w:space="0" w:color="auto"/>
                      </w:divBdr>
                      <w:divsChild>
                        <w:div w:id="1718121488">
                          <w:marLeft w:val="0"/>
                          <w:marRight w:val="0"/>
                          <w:marTop w:val="0"/>
                          <w:marBottom w:val="0"/>
                          <w:divBdr>
                            <w:top w:val="none" w:sz="0" w:space="0" w:color="auto"/>
                            <w:left w:val="none" w:sz="0" w:space="0" w:color="auto"/>
                            <w:bottom w:val="none" w:sz="0" w:space="0" w:color="auto"/>
                            <w:right w:val="none" w:sz="0" w:space="0" w:color="auto"/>
                          </w:divBdr>
                          <w:divsChild>
                            <w:div w:id="1774326354">
                              <w:marLeft w:val="0"/>
                              <w:marRight w:val="0"/>
                              <w:marTop w:val="0"/>
                              <w:marBottom w:val="0"/>
                              <w:divBdr>
                                <w:top w:val="none" w:sz="0" w:space="0" w:color="auto"/>
                                <w:left w:val="none" w:sz="0" w:space="0" w:color="auto"/>
                                <w:bottom w:val="none" w:sz="0" w:space="0" w:color="auto"/>
                                <w:right w:val="none" w:sz="0" w:space="0" w:color="auto"/>
                              </w:divBdr>
                              <w:divsChild>
                                <w:div w:id="1488013974">
                                  <w:marLeft w:val="0"/>
                                  <w:marRight w:val="0"/>
                                  <w:marTop w:val="0"/>
                                  <w:marBottom w:val="0"/>
                                  <w:divBdr>
                                    <w:top w:val="none" w:sz="0" w:space="0" w:color="auto"/>
                                    <w:left w:val="none" w:sz="0" w:space="0" w:color="auto"/>
                                    <w:bottom w:val="none" w:sz="0" w:space="0" w:color="auto"/>
                                    <w:right w:val="none" w:sz="0" w:space="0" w:color="auto"/>
                                  </w:divBdr>
                                  <w:divsChild>
                                    <w:div w:id="394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4781">
      <w:bodyDiv w:val="1"/>
      <w:marLeft w:val="0"/>
      <w:marRight w:val="0"/>
      <w:marTop w:val="0"/>
      <w:marBottom w:val="0"/>
      <w:divBdr>
        <w:top w:val="none" w:sz="0" w:space="0" w:color="auto"/>
        <w:left w:val="none" w:sz="0" w:space="0" w:color="auto"/>
        <w:bottom w:val="none" w:sz="0" w:space="0" w:color="auto"/>
        <w:right w:val="none" w:sz="0" w:space="0" w:color="auto"/>
      </w:divBdr>
      <w:divsChild>
        <w:div w:id="250509351">
          <w:marLeft w:val="0"/>
          <w:marRight w:val="0"/>
          <w:marTop w:val="0"/>
          <w:marBottom w:val="0"/>
          <w:divBdr>
            <w:top w:val="none" w:sz="0" w:space="0" w:color="auto"/>
            <w:left w:val="none" w:sz="0" w:space="0" w:color="auto"/>
            <w:bottom w:val="none" w:sz="0" w:space="0" w:color="auto"/>
            <w:right w:val="none" w:sz="0" w:space="0" w:color="auto"/>
          </w:divBdr>
          <w:divsChild>
            <w:div w:id="1652909714">
              <w:marLeft w:val="0"/>
              <w:marRight w:val="0"/>
              <w:marTop w:val="0"/>
              <w:marBottom w:val="0"/>
              <w:divBdr>
                <w:top w:val="none" w:sz="0" w:space="0" w:color="auto"/>
                <w:left w:val="none" w:sz="0" w:space="0" w:color="auto"/>
                <w:bottom w:val="none" w:sz="0" w:space="0" w:color="auto"/>
                <w:right w:val="none" w:sz="0" w:space="0" w:color="auto"/>
              </w:divBdr>
              <w:divsChild>
                <w:div w:id="162550285">
                  <w:marLeft w:val="0"/>
                  <w:marRight w:val="0"/>
                  <w:marTop w:val="0"/>
                  <w:marBottom w:val="0"/>
                  <w:divBdr>
                    <w:top w:val="none" w:sz="0" w:space="0" w:color="auto"/>
                    <w:left w:val="none" w:sz="0" w:space="0" w:color="auto"/>
                    <w:bottom w:val="none" w:sz="0" w:space="0" w:color="auto"/>
                    <w:right w:val="none" w:sz="0" w:space="0" w:color="auto"/>
                  </w:divBdr>
                  <w:divsChild>
                    <w:div w:id="809177029">
                      <w:marLeft w:val="0"/>
                      <w:marRight w:val="0"/>
                      <w:marTop w:val="0"/>
                      <w:marBottom w:val="0"/>
                      <w:divBdr>
                        <w:top w:val="none" w:sz="0" w:space="0" w:color="auto"/>
                        <w:left w:val="none" w:sz="0" w:space="0" w:color="auto"/>
                        <w:bottom w:val="none" w:sz="0" w:space="0" w:color="auto"/>
                        <w:right w:val="none" w:sz="0" w:space="0" w:color="auto"/>
                      </w:divBdr>
                      <w:divsChild>
                        <w:div w:id="1457871101">
                          <w:marLeft w:val="0"/>
                          <w:marRight w:val="0"/>
                          <w:marTop w:val="0"/>
                          <w:marBottom w:val="0"/>
                          <w:divBdr>
                            <w:top w:val="none" w:sz="0" w:space="0" w:color="auto"/>
                            <w:left w:val="none" w:sz="0" w:space="0" w:color="auto"/>
                            <w:bottom w:val="none" w:sz="0" w:space="0" w:color="auto"/>
                            <w:right w:val="none" w:sz="0" w:space="0" w:color="auto"/>
                          </w:divBdr>
                          <w:divsChild>
                            <w:div w:id="1758096554">
                              <w:marLeft w:val="0"/>
                              <w:marRight w:val="0"/>
                              <w:marTop w:val="0"/>
                              <w:marBottom w:val="0"/>
                              <w:divBdr>
                                <w:top w:val="none" w:sz="0" w:space="0" w:color="auto"/>
                                <w:left w:val="none" w:sz="0" w:space="0" w:color="auto"/>
                                <w:bottom w:val="none" w:sz="0" w:space="0" w:color="auto"/>
                                <w:right w:val="none" w:sz="0" w:space="0" w:color="auto"/>
                              </w:divBdr>
                              <w:divsChild>
                                <w:div w:id="928973486">
                                  <w:marLeft w:val="0"/>
                                  <w:marRight w:val="0"/>
                                  <w:marTop w:val="0"/>
                                  <w:marBottom w:val="0"/>
                                  <w:divBdr>
                                    <w:top w:val="none" w:sz="0" w:space="0" w:color="auto"/>
                                    <w:left w:val="none" w:sz="0" w:space="0" w:color="auto"/>
                                    <w:bottom w:val="none" w:sz="0" w:space="0" w:color="auto"/>
                                    <w:right w:val="none" w:sz="0" w:space="0" w:color="auto"/>
                                  </w:divBdr>
                                  <w:divsChild>
                                    <w:div w:id="1384017339">
                                      <w:marLeft w:val="0"/>
                                      <w:marRight w:val="0"/>
                                      <w:marTop w:val="0"/>
                                      <w:marBottom w:val="0"/>
                                      <w:divBdr>
                                        <w:top w:val="none" w:sz="0" w:space="0" w:color="auto"/>
                                        <w:left w:val="none" w:sz="0" w:space="0" w:color="auto"/>
                                        <w:bottom w:val="none" w:sz="0" w:space="0" w:color="auto"/>
                                        <w:right w:val="none" w:sz="0" w:space="0" w:color="auto"/>
                                      </w:divBdr>
                                      <w:divsChild>
                                        <w:div w:id="78521675">
                                          <w:marLeft w:val="0"/>
                                          <w:marRight w:val="0"/>
                                          <w:marTop w:val="0"/>
                                          <w:marBottom w:val="0"/>
                                          <w:divBdr>
                                            <w:top w:val="none" w:sz="0" w:space="0" w:color="auto"/>
                                            <w:left w:val="none" w:sz="0" w:space="0" w:color="auto"/>
                                            <w:bottom w:val="none" w:sz="0" w:space="0" w:color="auto"/>
                                            <w:right w:val="none" w:sz="0" w:space="0" w:color="auto"/>
                                          </w:divBdr>
                                        </w:div>
                                        <w:div w:id="308871481">
                                          <w:marLeft w:val="0"/>
                                          <w:marRight w:val="0"/>
                                          <w:marTop w:val="0"/>
                                          <w:marBottom w:val="0"/>
                                          <w:divBdr>
                                            <w:top w:val="none" w:sz="0" w:space="0" w:color="auto"/>
                                            <w:left w:val="none" w:sz="0" w:space="0" w:color="auto"/>
                                            <w:bottom w:val="none" w:sz="0" w:space="0" w:color="auto"/>
                                            <w:right w:val="none" w:sz="0" w:space="0" w:color="auto"/>
                                          </w:divBdr>
                                        </w:div>
                                        <w:div w:id="874855161">
                                          <w:marLeft w:val="0"/>
                                          <w:marRight w:val="0"/>
                                          <w:marTop w:val="0"/>
                                          <w:marBottom w:val="0"/>
                                          <w:divBdr>
                                            <w:top w:val="none" w:sz="0" w:space="0" w:color="auto"/>
                                            <w:left w:val="none" w:sz="0" w:space="0" w:color="auto"/>
                                            <w:bottom w:val="none" w:sz="0" w:space="0" w:color="auto"/>
                                            <w:right w:val="none" w:sz="0" w:space="0" w:color="auto"/>
                                          </w:divBdr>
                                        </w:div>
                                        <w:div w:id="981234602">
                                          <w:marLeft w:val="0"/>
                                          <w:marRight w:val="0"/>
                                          <w:marTop w:val="0"/>
                                          <w:marBottom w:val="0"/>
                                          <w:divBdr>
                                            <w:top w:val="none" w:sz="0" w:space="0" w:color="auto"/>
                                            <w:left w:val="none" w:sz="0" w:space="0" w:color="auto"/>
                                            <w:bottom w:val="none" w:sz="0" w:space="0" w:color="auto"/>
                                            <w:right w:val="none" w:sz="0" w:space="0" w:color="auto"/>
                                          </w:divBdr>
                                        </w:div>
                                        <w:div w:id="1750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10">
                          <w:marLeft w:val="0"/>
                          <w:marRight w:val="0"/>
                          <w:marTop w:val="0"/>
                          <w:marBottom w:val="0"/>
                          <w:divBdr>
                            <w:top w:val="none" w:sz="0" w:space="0" w:color="auto"/>
                            <w:left w:val="none" w:sz="0" w:space="0" w:color="auto"/>
                            <w:bottom w:val="none" w:sz="0" w:space="0" w:color="auto"/>
                            <w:right w:val="none" w:sz="0" w:space="0" w:color="auto"/>
                          </w:divBdr>
                          <w:divsChild>
                            <w:div w:id="65491854">
                              <w:marLeft w:val="0"/>
                              <w:marRight w:val="0"/>
                              <w:marTop w:val="0"/>
                              <w:marBottom w:val="0"/>
                              <w:divBdr>
                                <w:top w:val="none" w:sz="0" w:space="0" w:color="auto"/>
                                <w:left w:val="none" w:sz="0" w:space="0" w:color="auto"/>
                                <w:bottom w:val="none" w:sz="0" w:space="0" w:color="auto"/>
                                <w:right w:val="none" w:sz="0" w:space="0" w:color="auto"/>
                              </w:divBdr>
                              <w:divsChild>
                                <w:div w:id="21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36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0471">
      <w:bodyDiv w:val="1"/>
      <w:marLeft w:val="0"/>
      <w:marRight w:val="0"/>
      <w:marTop w:val="0"/>
      <w:marBottom w:val="0"/>
      <w:divBdr>
        <w:top w:val="none" w:sz="0" w:space="0" w:color="auto"/>
        <w:left w:val="none" w:sz="0" w:space="0" w:color="auto"/>
        <w:bottom w:val="none" w:sz="0" w:space="0" w:color="auto"/>
        <w:right w:val="none" w:sz="0" w:space="0" w:color="auto"/>
      </w:divBdr>
    </w:div>
    <w:div w:id="455947118">
      <w:bodyDiv w:val="1"/>
      <w:marLeft w:val="0"/>
      <w:marRight w:val="0"/>
      <w:marTop w:val="0"/>
      <w:marBottom w:val="0"/>
      <w:divBdr>
        <w:top w:val="none" w:sz="0" w:space="0" w:color="auto"/>
        <w:left w:val="none" w:sz="0" w:space="0" w:color="auto"/>
        <w:bottom w:val="none" w:sz="0" w:space="0" w:color="auto"/>
        <w:right w:val="none" w:sz="0" w:space="0" w:color="auto"/>
      </w:divBdr>
    </w:div>
    <w:div w:id="468940335">
      <w:bodyDiv w:val="1"/>
      <w:marLeft w:val="0"/>
      <w:marRight w:val="0"/>
      <w:marTop w:val="0"/>
      <w:marBottom w:val="0"/>
      <w:divBdr>
        <w:top w:val="none" w:sz="0" w:space="0" w:color="auto"/>
        <w:left w:val="none" w:sz="0" w:space="0" w:color="auto"/>
        <w:bottom w:val="none" w:sz="0" w:space="0" w:color="auto"/>
        <w:right w:val="none" w:sz="0" w:space="0" w:color="auto"/>
      </w:divBdr>
      <w:divsChild>
        <w:div w:id="636229237">
          <w:marLeft w:val="0"/>
          <w:marRight w:val="0"/>
          <w:marTop w:val="0"/>
          <w:marBottom w:val="0"/>
          <w:divBdr>
            <w:top w:val="none" w:sz="0" w:space="0" w:color="auto"/>
            <w:left w:val="none" w:sz="0" w:space="0" w:color="auto"/>
            <w:bottom w:val="none" w:sz="0" w:space="0" w:color="auto"/>
            <w:right w:val="none" w:sz="0" w:space="0" w:color="auto"/>
          </w:divBdr>
          <w:divsChild>
            <w:div w:id="907307563">
              <w:marLeft w:val="0"/>
              <w:marRight w:val="0"/>
              <w:marTop w:val="0"/>
              <w:marBottom w:val="0"/>
              <w:divBdr>
                <w:top w:val="none" w:sz="0" w:space="0" w:color="auto"/>
                <w:left w:val="none" w:sz="0" w:space="0" w:color="auto"/>
                <w:bottom w:val="none" w:sz="0" w:space="0" w:color="auto"/>
                <w:right w:val="none" w:sz="0" w:space="0" w:color="auto"/>
              </w:divBdr>
              <w:divsChild>
                <w:div w:id="515507378">
                  <w:marLeft w:val="0"/>
                  <w:marRight w:val="0"/>
                  <w:marTop w:val="0"/>
                  <w:marBottom w:val="0"/>
                  <w:divBdr>
                    <w:top w:val="none" w:sz="0" w:space="0" w:color="auto"/>
                    <w:left w:val="none" w:sz="0" w:space="0" w:color="auto"/>
                    <w:bottom w:val="none" w:sz="0" w:space="0" w:color="auto"/>
                    <w:right w:val="none" w:sz="0" w:space="0" w:color="auto"/>
                  </w:divBdr>
                  <w:divsChild>
                    <w:div w:id="697632249">
                      <w:marLeft w:val="0"/>
                      <w:marRight w:val="0"/>
                      <w:marTop w:val="0"/>
                      <w:marBottom w:val="0"/>
                      <w:divBdr>
                        <w:top w:val="none" w:sz="0" w:space="0" w:color="auto"/>
                        <w:left w:val="none" w:sz="0" w:space="0" w:color="auto"/>
                        <w:bottom w:val="none" w:sz="0" w:space="0" w:color="auto"/>
                        <w:right w:val="none" w:sz="0" w:space="0" w:color="auto"/>
                      </w:divBdr>
                      <w:divsChild>
                        <w:div w:id="181087733">
                          <w:marLeft w:val="0"/>
                          <w:marRight w:val="0"/>
                          <w:marTop w:val="0"/>
                          <w:marBottom w:val="0"/>
                          <w:divBdr>
                            <w:top w:val="none" w:sz="0" w:space="0" w:color="auto"/>
                            <w:left w:val="none" w:sz="0" w:space="0" w:color="auto"/>
                            <w:bottom w:val="none" w:sz="0" w:space="0" w:color="auto"/>
                            <w:right w:val="none" w:sz="0" w:space="0" w:color="auto"/>
                          </w:divBdr>
                          <w:divsChild>
                            <w:div w:id="475220620">
                              <w:marLeft w:val="0"/>
                              <w:marRight w:val="0"/>
                              <w:marTop w:val="0"/>
                              <w:marBottom w:val="0"/>
                              <w:divBdr>
                                <w:top w:val="none" w:sz="0" w:space="0" w:color="auto"/>
                                <w:left w:val="none" w:sz="0" w:space="0" w:color="auto"/>
                                <w:bottom w:val="none" w:sz="0" w:space="0" w:color="auto"/>
                                <w:right w:val="none" w:sz="0" w:space="0" w:color="auto"/>
                              </w:divBdr>
                              <w:divsChild>
                                <w:div w:id="104230033">
                                  <w:marLeft w:val="0"/>
                                  <w:marRight w:val="0"/>
                                  <w:marTop w:val="0"/>
                                  <w:marBottom w:val="0"/>
                                  <w:divBdr>
                                    <w:top w:val="none" w:sz="0" w:space="0" w:color="auto"/>
                                    <w:left w:val="none" w:sz="0" w:space="0" w:color="auto"/>
                                    <w:bottom w:val="none" w:sz="0" w:space="0" w:color="auto"/>
                                    <w:right w:val="none" w:sz="0" w:space="0" w:color="auto"/>
                                  </w:divBdr>
                                  <w:divsChild>
                                    <w:div w:id="655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013">
                          <w:marLeft w:val="0"/>
                          <w:marRight w:val="0"/>
                          <w:marTop w:val="0"/>
                          <w:marBottom w:val="0"/>
                          <w:divBdr>
                            <w:top w:val="none" w:sz="0" w:space="0" w:color="auto"/>
                            <w:left w:val="none" w:sz="0" w:space="0" w:color="auto"/>
                            <w:bottom w:val="none" w:sz="0" w:space="0" w:color="auto"/>
                            <w:right w:val="none" w:sz="0" w:space="0" w:color="auto"/>
                          </w:divBdr>
                          <w:divsChild>
                            <w:div w:id="629822391">
                              <w:marLeft w:val="0"/>
                              <w:marRight w:val="0"/>
                              <w:marTop w:val="0"/>
                              <w:marBottom w:val="0"/>
                              <w:divBdr>
                                <w:top w:val="none" w:sz="0" w:space="0" w:color="auto"/>
                                <w:left w:val="none" w:sz="0" w:space="0" w:color="auto"/>
                                <w:bottom w:val="none" w:sz="0" w:space="0" w:color="auto"/>
                                <w:right w:val="none" w:sz="0" w:space="0" w:color="auto"/>
                              </w:divBdr>
                              <w:divsChild>
                                <w:div w:id="750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5796">
      <w:bodyDiv w:val="1"/>
      <w:marLeft w:val="0"/>
      <w:marRight w:val="0"/>
      <w:marTop w:val="0"/>
      <w:marBottom w:val="0"/>
      <w:divBdr>
        <w:top w:val="none" w:sz="0" w:space="0" w:color="auto"/>
        <w:left w:val="none" w:sz="0" w:space="0" w:color="auto"/>
        <w:bottom w:val="none" w:sz="0" w:space="0" w:color="auto"/>
        <w:right w:val="none" w:sz="0" w:space="0" w:color="auto"/>
      </w:divBdr>
      <w:divsChild>
        <w:div w:id="530806192">
          <w:marLeft w:val="0"/>
          <w:marRight w:val="0"/>
          <w:marTop w:val="0"/>
          <w:marBottom w:val="0"/>
          <w:divBdr>
            <w:top w:val="none" w:sz="0" w:space="0" w:color="auto"/>
            <w:left w:val="none" w:sz="0" w:space="0" w:color="auto"/>
            <w:bottom w:val="none" w:sz="0" w:space="0" w:color="auto"/>
            <w:right w:val="none" w:sz="0" w:space="0" w:color="auto"/>
          </w:divBdr>
          <w:divsChild>
            <w:div w:id="1259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70560">
          <w:marLeft w:val="0"/>
          <w:marRight w:val="0"/>
          <w:marTop w:val="0"/>
          <w:marBottom w:val="0"/>
          <w:divBdr>
            <w:top w:val="single" w:sz="2" w:space="0" w:color="auto"/>
            <w:left w:val="single" w:sz="2" w:space="0" w:color="auto"/>
            <w:bottom w:val="single" w:sz="2" w:space="0" w:color="auto"/>
            <w:right w:val="single" w:sz="2" w:space="0" w:color="auto"/>
          </w:divBdr>
          <w:divsChild>
            <w:div w:id="1872956897">
              <w:marLeft w:val="0"/>
              <w:marRight w:val="0"/>
              <w:marTop w:val="0"/>
              <w:marBottom w:val="0"/>
              <w:divBdr>
                <w:top w:val="single" w:sz="2" w:space="0" w:color="auto"/>
                <w:left w:val="single" w:sz="2" w:space="0" w:color="auto"/>
                <w:bottom w:val="single" w:sz="2" w:space="0" w:color="auto"/>
                <w:right w:val="single" w:sz="2" w:space="0" w:color="auto"/>
              </w:divBdr>
              <w:divsChild>
                <w:div w:id="1898709208">
                  <w:marLeft w:val="0"/>
                  <w:marRight w:val="0"/>
                  <w:marTop w:val="0"/>
                  <w:marBottom w:val="0"/>
                  <w:divBdr>
                    <w:top w:val="single" w:sz="2" w:space="0" w:color="auto"/>
                    <w:left w:val="single" w:sz="2" w:space="0" w:color="auto"/>
                    <w:bottom w:val="single" w:sz="2" w:space="0" w:color="auto"/>
                    <w:right w:val="single" w:sz="2" w:space="0" w:color="auto"/>
                  </w:divBdr>
                  <w:divsChild>
                    <w:div w:id="891845850">
                      <w:marLeft w:val="0"/>
                      <w:marRight w:val="0"/>
                      <w:marTop w:val="0"/>
                      <w:marBottom w:val="0"/>
                      <w:divBdr>
                        <w:top w:val="single" w:sz="2" w:space="0" w:color="auto"/>
                        <w:left w:val="single" w:sz="2" w:space="0" w:color="auto"/>
                        <w:bottom w:val="single" w:sz="2" w:space="0" w:color="auto"/>
                        <w:right w:val="single" w:sz="2" w:space="0" w:color="auto"/>
                      </w:divBdr>
                      <w:divsChild>
                        <w:div w:id="520434943">
                          <w:marLeft w:val="0"/>
                          <w:marRight w:val="0"/>
                          <w:marTop w:val="0"/>
                          <w:marBottom w:val="0"/>
                          <w:divBdr>
                            <w:top w:val="single" w:sz="2" w:space="0" w:color="auto"/>
                            <w:left w:val="single" w:sz="2" w:space="0" w:color="auto"/>
                            <w:bottom w:val="single" w:sz="2" w:space="0" w:color="auto"/>
                            <w:right w:val="single" w:sz="2" w:space="0" w:color="auto"/>
                          </w:divBdr>
                          <w:divsChild>
                            <w:div w:id="378553590">
                              <w:marLeft w:val="0"/>
                              <w:marRight w:val="0"/>
                              <w:marTop w:val="0"/>
                              <w:marBottom w:val="0"/>
                              <w:divBdr>
                                <w:top w:val="single" w:sz="2" w:space="0" w:color="auto"/>
                                <w:left w:val="single" w:sz="2" w:space="0" w:color="auto"/>
                                <w:bottom w:val="single" w:sz="2" w:space="0" w:color="auto"/>
                                <w:right w:val="single" w:sz="2" w:space="0" w:color="auto"/>
                              </w:divBdr>
                              <w:divsChild>
                                <w:div w:id="1996831819">
                                  <w:marLeft w:val="0"/>
                                  <w:marRight w:val="0"/>
                                  <w:marTop w:val="0"/>
                                  <w:marBottom w:val="0"/>
                                  <w:divBdr>
                                    <w:top w:val="single" w:sz="2" w:space="2" w:color="auto"/>
                                    <w:left w:val="single" w:sz="2" w:space="0" w:color="auto"/>
                                    <w:bottom w:val="single" w:sz="2" w:space="0" w:color="auto"/>
                                    <w:right w:val="single" w:sz="2" w:space="0" w:color="auto"/>
                                  </w:divBdr>
                                  <w:divsChild>
                                    <w:div w:id="28076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60360347">
      <w:bodyDiv w:val="1"/>
      <w:marLeft w:val="0"/>
      <w:marRight w:val="0"/>
      <w:marTop w:val="0"/>
      <w:marBottom w:val="0"/>
      <w:divBdr>
        <w:top w:val="none" w:sz="0" w:space="0" w:color="auto"/>
        <w:left w:val="none" w:sz="0" w:space="0" w:color="auto"/>
        <w:bottom w:val="none" w:sz="0" w:space="0" w:color="auto"/>
        <w:right w:val="none" w:sz="0" w:space="0" w:color="auto"/>
      </w:divBdr>
    </w:div>
    <w:div w:id="572200602">
      <w:bodyDiv w:val="1"/>
      <w:marLeft w:val="0"/>
      <w:marRight w:val="0"/>
      <w:marTop w:val="0"/>
      <w:marBottom w:val="0"/>
      <w:divBdr>
        <w:top w:val="none" w:sz="0" w:space="0" w:color="auto"/>
        <w:left w:val="none" w:sz="0" w:space="0" w:color="auto"/>
        <w:bottom w:val="none" w:sz="0" w:space="0" w:color="auto"/>
        <w:right w:val="none" w:sz="0" w:space="0" w:color="auto"/>
      </w:divBdr>
      <w:divsChild>
        <w:div w:id="1915823331">
          <w:marLeft w:val="0"/>
          <w:marRight w:val="0"/>
          <w:marTop w:val="0"/>
          <w:marBottom w:val="0"/>
          <w:divBdr>
            <w:top w:val="none" w:sz="0" w:space="0" w:color="auto"/>
            <w:left w:val="none" w:sz="0" w:space="0" w:color="auto"/>
            <w:bottom w:val="none" w:sz="0" w:space="0" w:color="auto"/>
            <w:right w:val="none" w:sz="0" w:space="0" w:color="auto"/>
          </w:divBdr>
          <w:divsChild>
            <w:div w:id="485164906">
              <w:marLeft w:val="0"/>
              <w:marRight w:val="0"/>
              <w:marTop w:val="0"/>
              <w:marBottom w:val="0"/>
              <w:divBdr>
                <w:top w:val="none" w:sz="0" w:space="0" w:color="auto"/>
                <w:left w:val="none" w:sz="0" w:space="0" w:color="auto"/>
                <w:bottom w:val="none" w:sz="0" w:space="0" w:color="auto"/>
                <w:right w:val="none" w:sz="0" w:space="0" w:color="auto"/>
              </w:divBdr>
              <w:divsChild>
                <w:div w:id="2139713074">
                  <w:marLeft w:val="0"/>
                  <w:marRight w:val="0"/>
                  <w:marTop w:val="0"/>
                  <w:marBottom w:val="0"/>
                  <w:divBdr>
                    <w:top w:val="none" w:sz="0" w:space="0" w:color="auto"/>
                    <w:left w:val="none" w:sz="0" w:space="0" w:color="auto"/>
                    <w:bottom w:val="none" w:sz="0" w:space="0" w:color="auto"/>
                    <w:right w:val="none" w:sz="0" w:space="0" w:color="auto"/>
                  </w:divBdr>
                  <w:divsChild>
                    <w:div w:id="1836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8602">
      <w:bodyDiv w:val="1"/>
      <w:marLeft w:val="0"/>
      <w:marRight w:val="0"/>
      <w:marTop w:val="0"/>
      <w:marBottom w:val="0"/>
      <w:divBdr>
        <w:top w:val="none" w:sz="0" w:space="0" w:color="auto"/>
        <w:left w:val="none" w:sz="0" w:space="0" w:color="auto"/>
        <w:bottom w:val="none" w:sz="0" w:space="0" w:color="auto"/>
        <w:right w:val="none" w:sz="0" w:space="0" w:color="auto"/>
      </w:divBdr>
      <w:divsChild>
        <w:div w:id="482503408">
          <w:marLeft w:val="0"/>
          <w:marRight w:val="0"/>
          <w:marTop w:val="0"/>
          <w:marBottom w:val="0"/>
          <w:divBdr>
            <w:top w:val="none" w:sz="0" w:space="0" w:color="auto"/>
            <w:left w:val="none" w:sz="0" w:space="0" w:color="auto"/>
            <w:bottom w:val="none" w:sz="0" w:space="0" w:color="auto"/>
            <w:right w:val="none" w:sz="0" w:space="0" w:color="auto"/>
          </w:divBdr>
          <w:divsChild>
            <w:div w:id="1749843380">
              <w:marLeft w:val="0"/>
              <w:marRight w:val="0"/>
              <w:marTop w:val="0"/>
              <w:marBottom w:val="0"/>
              <w:divBdr>
                <w:top w:val="none" w:sz="0" w:space="0" w:color="auto"/>
                <w:left w:val="none" w:sz="0" w:space="0" w:color="auto"/>
                <w:bottom w:val="none" w:sz="0" w:space="0" w:color="auto"/>
                <w:right w:val="none" w:sz="0" w:space="0" w:color="auto"/>
              </w:divBdr>
              <w:divsChild>
                <w:div w:id="1515614012">
                  <w:marLeft w:val="0"/>
                  <w:marRight w:val="0"/>
                  <w:marTop w:val="0"/>
                  <w:marBottom w:val="0"/>
                  <w:divBdr>
                    <w:top w:val="none" w:sz="0" w:space="0" w:color="auto"/>
                    <w:left w:val="none" w:sz="0" w:space="0" w:color="auto"/>
                    <w:bottom w:val="none" w:sz="0" w:space="0" w:color="auto"/>
                    <w:right w:val="none" w:sz="0" w:space="0" w:color="auto"/>
                  </w:divBdr>
                  <w:divsChild>
                    <w:div w:id="1984506331">
                      <w:marLeft w:val="0"/>
                      <w:marRight w:val="0"/>
                      <w:marTop w:val="0"/>
                      <w:marBottom w:val="0"/>
                      <w:divBdr>
                        <w:top w:val="none" w:sz="0" w:space="0" w:color="auto"/>
                        <w:left w:val="none" w:sz="0" w:space="0" w:color="auto"/>
                        <w:bottom w:val="none" w:sz="0" w:space="0" w:color="auto"/>
                        <w:right w:val="none" w:sz="0" w:space="0" w:color="auto"/>
                      </w:divBdr>
                      <w:divsChild>
                        <w:div w:id="1250428318">
                          <w:marLeft w:val="0"/>
                          <w:marRight w:val="0"/>
                          <w:marTop w:val="0"/>
                          <w:marBottom w:val="0"/>
                          <w:divBdr>
                            <w:top w:val="none" w:sz="0" w:space="0" w:color="auto"/>
                            <w:left w:val="none" w:sz="0" w:space="0" w:color="auto"/>
                            <w:bottom w:val="none" w:sz="0" w:space="0" w:color="auto"/>
                            <w:right w:val="none" w:sz="0" w:space="0" w:color="auto"/>
                          </w:divBdr>
                          <w:divsChild>
                            <w:div w:id="2125464802">
                              <w:marLeft w:val="0"/>
                              <w:marRight w:val="0"/>
                              <w:marTop w:val="0"/>
                              <w:marBottom w:val="0"/>
                              <w:divBdr>
                                <w:top w:val="none" w:sz="0" w:space="0" w:color="auto"/>
                                <w:left w:val="none" w:sz="0" w:space="0" w:color="auto"/>
                                <w:bottom w:val="none" w:sz="0" w:space="0" w:color="auto"/>
                                <w:right w:val="none" w:sz="0" w:space="0" w:color="auto"/>
                              </w:divBdr>
                              <w:divsChild>
                                <w:div w:id="140460620">
                                  <w:marLeft w:val="0"/>
                                  <w:marRight w:val="0"/>
                                  <w:marTop w:val="0"/>
                                  <w:marBottom w:val="0"/>
                                  <w:divBdr>
                                    <w:top w:val="none" w:sz="0" w:space="0" w:color="auto"/>
                                    <w:left w:val="none" w:sz="0" w:space="0" w:color="auto"/>
                                    <w:bottom w:val="none" w:sz="0" w:space="0" w:color="auto"/>
                                    <w:right w:val="none" w:sz="0" w:space="0" w:color="auto"/>
                                  </w:divBdr>
                                  <w:divsChild>
                                    <w:div w:id="202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599">
                          <w:marLeft w:val="0"/>
                          <w:marRight w:val="0"/>
                          <w:marTop w:val="0"/>
                          <w:marBottom w:val="0"/>
                          <w:divBdr>
                            <w:top w:val="none" w:sz="0" w:space="0" w:color="auto"/>
                            <w:left w:val="none" w:sz="0" w:space="0" w:color="auto"/>
                            <w:bottom w:val="none" w:sz="0" w:space="0" w:color="auto"/>
                            <w:right w:val="none" w:sz="0" w:space="0" w:color="auto"/>
                          </w:divBdr>
                          <w:divsChild>
                            <w:div w:id="1158886015">
                              <w:marLeft w:val="0"/>
                              <w:marRight w:val="0"/>
                              <w:marTop w:val="0"/>
                              <w:marBottom w:val="0"/>
                              <w:divBdr>
                                <w:top w:val="none" w:sz="0" w:space="0" w:color="auto"/>
                                <w:left w:val="none" w:sz="0" w:space="0" w:color="auto"/>
                                <w:bottom w:val="none" w:sz="0" w:space="0" w:color="auto"/>
                                <w:right w:val="none" w:sz="0" w:space="0" w:color="auto"/>
                              </w:divBdr>
                              <w:divsChild>
                                <w:div w:id="3287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696">
      <w:bodyDiv w:val="1"/>
      <w:marLeft w:val="0"/>
      <w:marRight w:val="0"/>
      <w:marTop w:val="0"/>
      <w:marBottom w:val="0"/>
      <w:divBdr>
        <w:top w:val="none" w:sz="0" w:space="0" w:color="auto"/>
        <w:left w:val="none" w:sz="0" w:space="0" w:color="auto"/>
        <w:bottom w:val="none" w:sz="0" w:space="0" w:color="auto"/>
        <w:right w:val="none" w:sz="0" w:space="0" w:color="auto"/>
      </w:divBdr>
      <w:divsChild>
        <w:div w:id="1092042777">
          <w:marLeft w:val="0"/>
          <w:marRight w:val="0"/>
          <w:marTop w:val="0"/>
          <w:marBottom w:val="0"/>
          <w:divBdr>
            <w:top w:val="none" w:sz="0" w:space="0" w:color="auto"/>
            <w:left w:val="none" w:sz="0" w:space="0" w:color="auto"/>
            <w:bottom w:val="none" w:sz="0" w:space="0" w:color="auto"/>
            <w:right w:val="none" w:sz="0" w:space="0" w:color="auto"/>
          </w:divBdr>
          <w:divsChild>
            <w:div w:id="15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100">
      <w:bodyDiv w:val="1"/>
      <w:marLeft w:val="0"/>
      <w:marRight w:val="0"/>
      <w:marTop w:val="0"/>
      <w:marBottom w:val="0"/>
      <w:divBdr>
        <w:top w:val="none" w:sz="0" w:space="0" w:color="auto"/>
        <w:left w:val="none" w:sz="0" w:space="0" w:color="auto"/>
        <w:bottom w:val="none" w:sz="0" w:space="0" w:color="auto"/>
        <w:right w:val="none" w:sz="0" w:space="0" w:color="auto"/>
      </w:divBdr>
      <w:divsChild>
        <w:div w:id="1498114076">
          <w:marLeft w:val="0"/>
          <w:marRight w:val="0"/>
          <w:marTop w:val="0"/>
          <w:marBottom w:val="0"/>
          <w:divBdr>
            <w:top w:val="none" w:sz="0" w:space="0" w:color="auto"/>
            <w:left w:val="none" w:sz="0" w:space="0" w:color="auto"/>
            <w:bottom w:val="none" w:sz="0" w:space="0" w:color="auto"/>
            <w:right w:val="none" w:sz="0" w:space="0" w:color="auto"/>
          </w:divBdr>
          <w:divsChild>
            <w:div w:id="625741914">
              <w:marLeft w:val="0"/>
              <w:marRight w:val="0"/>
              <w:marTop w:val="0"/>
              <w:marBottom w:val="0"/>
              <w:divBdr>
                <w:top w:val="none" w:sz="0" w:space="0" w:color="auto"/>
                <w:left w:val="none" w:sz="0" w:space="0" w:color="auto"/>
                <w:bottom w:val="none" w:sz="0" w:space="0" w:color="auto"/>
                <w:right w:val="none" w:sz="0" w:space="0" w:color="auto"/>
              </w:divBdr>
              <w:divsChild>
                <w:div w:id="1250579997">
                  <w:marLeft w:val="0"/>
                  <w:marRight w:val="0"/>
                  <w:marTop w:val="0"/>
                  <w:marBottom w:val="0"/>
                  <w:divBdr>
                    <w:top w:val="none" w:sz="0" w:space="0" w:color="auto"/>
                    <w:left w:val="none" w:sz="0" w:space="0" w:color="auto"/>
                    <w:bottom w:val="none" w:sz="0" w:space="0" w:color="auto"/>
                    <w:right w:val="none" w:sz="0" w:space="0" w:color="auto"/>
                  </w:divBdr>
                  <w:divsChild>
                    <w:div w:id="21046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89016">
      <w:bodyDiv w:val="1"/>
      <w:marLeft w:val="0"/>
      <w:marRight w:val="0"/>
      <w:marTop w:val="0"/>
      <w:marBottom w:val="0"/>
      <w:divBdr>
        <w:top w:val="none" w:sz="0" w:space="0" w:color="auto"/>
        <w:left w:val="none" w:sz="0" w:space="0" w:color="auto"/>
        <w:bottom w:val="none" w:sz="0" w:space="0" w:color="auto"/>
        <w:right w:val="none" w:sz="0" w:space="0" w:color="auto"/>
      </w:divBdr>
      <w:divsChild>
        <w:div w:id="417823020">
          <w:marLeft w:val="0"/>
          <w:marRight w:val="0"/>
          <w:marTop w:val="0"/>
          <w:marBottom w:val="0"/>
          <w:divBdr>
            <w:top w:val="none" w:sz="0" w:space="0" w:color="auto"/>
            <w:left w:val="none" w:sz="0" w:space="0" w:color="auto"/>
            <w:bottom w:val="none" w:sz="0" w:space="0" w:color="auto"/>
            <w:right w:val="none" w:sz="0" w:space="0" w:color="auto"/>
          </w:divBdr>
          <w:divsChild>
            <w:div w:id="1527937643">
              <w:marLeft w:val="0"/>
              <w:marRight w:val="0"/>
              <w:marTop w:val="0"/>
              <w:marBottom w:val="0"/>
              <w:divBdr>
                <w:top w:val="none" w:sz="0" w:space="0" w:color="auto"/>
                <w:left w:val="none" w:sz="0" w:space="0" w:color="auto"/>
                <w:bottom w:val="none" w:sz="0" w:space="0" w:color="auto"/>
                <w:right w:val="none" w:sz="0" w:space="0" w:color="auto"/>
              </w:divBdr>
              <w:divsChild>
                <w:div w:id="1495341227">
                  <w:marLeft w:val="0"/>
                  <w:marRight w:val="0"/>
                  <w:marTop w:val="0"/>
                  <w:marBottom w:val="0"/>
                  <w:divBdr>
                    <w:top w:val="none" w:sz="0" w:space="0" w:color="auto"/>
                    <w:left w:val="none" w:sz="0" w:space="0" w:color="auto"/>
                    <w:bottom w:val="none" w:sz="0" w:space="0" w:color="auto"/>
                    <w:right w:val="none" w:sz="0" w:space="0" w:color="auto"/>
                  </w:divBdr>
                  <w:divsChild>
                    <w:div w:id="1484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9495">
      <w:bodyDiv w:val="1"/>
      <w:marLeft w:val="0"/>
      <w:marRight w:val="0"/>
      <w:marTop w:val="0"/>
      <w:marBottom w:val="0"/>
      <w:divBdr>
        <w:top w:val="none" w:sz="0" w:space="0" w:color="auto"/>
        <w:left w:val="none" w:sz="0" w:space="0" w:color="auto"/>
        <w:bottom w:val="none" w:sz="0" w:space="0" w:color="auto"/>
        <w:right w:val="none" w:sz="0" w:space="0" w:color="auto"/>
      </w:divBdr>
      <w:divsChild>
        <w:div w:id="855460320">
          <w:marLeft w:val="0"/>
          <w:marRight w:val="0"/>
          <w:marTop w:val="0"/>
          <w:marBottom w:val="0"/>
          <w:divBdr>
            <w:top w:val="none" w:sz="0" w:space="0" w:color="auto"/>
            <w:left w:val="none" w:sz="0" w:space="0" w:color="auto"/>
            <w:bottom w:val="none" w:sz="0" w:space="0" w:color="auto"/>
            <w:right w:val="none" w:sz="0" w:space="0" w:color="auto"/>
          </w:divBdr>
          <w:divsChild>
            <w:div w:id="377359225">
              <w:marLeft w:val="0"/>
              <w:marRight w:val="0"/>
              <w:marTop w:val="0"/>
              <w:marBottom w:val="0"/>
              <w:divBdr>
                <w:top w:val="none" w:sz="0" w:space="0" w:color="auto"/>
                <w:left w:val="none" w:sz="0" w:space="0" w:color="auto"/>
                <w:bottom w:val="none" w:sz="0" w:space="0" w:color="auto"/>
                <w:right w:val="none" w:sz="0" w:space="0" w:color="auto"/>
              </w:divBdr>
              <w:divsChild>
                <w:div w:id="41490297">
                  <w:marLeft w:val="0"/>
                  <w:marRight w:val="0"/>
                  <w:marTop w:val="0"/>
                  <w:marBottom w:val="0"/>
                  <w:divBdr>
                    <w:top w:val="none" w:sz="0" w:space="0" w:color="auto"/>
                    <w:left w:val="none" w:sz="0" w:space="0" w:color="auto"/>
                    <w:bottom w:val="none" w:sz="0" w:space="0" w:color="auto"/>
                    <w:right w:val="none" w:sz="0" w:space="0" w:color="auto"/>
                  </w:divBdr>
                  <w:divsChild>
                    <w:div w:id="1135947099">
                      <w:marLeft w:val="0"/>
                      <w:marRight w:val="0"/>
                      <w:marTop w:val="0"/>
                      <w:marBottom w:val="0"/>
                      <w:divBdr>
                        <w:top w:val="none" w:sz="0" w:space="0" w:color="auto"/>
                        <w:left w:val="none" w:sz="0" w:space="0" w:color="auto"/>
                        <w:bottom w:val="none" w:sz="0" w:space="0" w:color="auto"/>
                        <w:right w:val="none" w:sz="0" w:space="0" w:color="auto"/>
                      </w:divBdr>
                      <w:divsChild>
                        <w:div w:id="39669540">
                          <w:marLeft w:val="0"/>
                          <w:marRight w:val="0"/>
                          <w:marTop w:val="0"/>
                          <w:marBottom w:val="0"/>
                          <w:divBdr>
                            <w:top w:val="none" w:sz="0" w:space="0" w:color="auto"/>
                            <w:left w:val="none" w:sz="0" w:space="0" w:color="auto"/>
                            <w:bottom w:val="none" w:sz="0" w:space="0" w:color="auto"/>
                            <w:right w:val="none" w:sz="0" w:space="0" w:color="auto"/>
                          </w:divBdr>
                          <w:divsChild>
                            <w:div w:id="606229617">
                              <w:marLeft w:val="0"/>
                              <w:marRight w:val="0"/>
                              <w:marTop w:val="0"/>
                              <w:marBottom w:val="0"/>
                              <w:divBdr>
                                <w:top w:val="none" w:sz="0" w:space="0" w:color="auto"/>
                                <w:left w:val="none" w:sz="0" w:space="0" w:color="auto"/>
                                <w:bottom w:val="none" w:sz="0" w:space="0" w:color="auto"/>
                                <w:right w:val="none" w:sz="0" w:space="0" w:color="auto"/>
                              </w:divBdr>
                              <w:divsChild>
                                <w:div w:id="1080298634">
                                  <w:marLeft w:val="0"/>
                                  <w:marRight w:val="0"/>
                                  <w:marTop w:val="0"/>
                                  <w:marBottom w:val="0"/>
                                  <w:divBdr>
                                    <w:top w:val="none" w:sz="0" w:space="0" w:color="auto"/>
                                    <w:left w:val="none" w:sz="0" w:space="0" w:color="auto"/>
                                    <w:bottom w:val="none" w:sz="0" w:space="0" w:color="auto"/>
                                    <w:right w:val="none" w:sz="0" w:space="0" w:color="auto"/>
                                  </w:divBdr>
                                  <w:divsChild>
                                    <w:div w:id="163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5924">
                          <w:marLeft w:val="0"/>
                          <w:marRight w:val="0"/>
                          <w:marTop w:val="0"/>
                          <w:marBottom w:val="0"/>
                          <w:divBdr>
                            <w:top w:val="none" w:sz="0" w:space="0" w:color="auto"/>
                            <w:left w:val="none" w:sz="0" w:space="0" w:color="auto"/>
                            <w:bottom w:val="none" w:sz="0" w:space="0" w:color="auto"/>
                            <w:right w:val="none" w:sz="0" w:space="0" w:color="auto"/>
                          </w:divBdr>
                          <w:divsChild>
                            <w:div w:id="1211528626">
                              <w:marLeft w:val="0"/>
                              <w:marRight w:val="0"/>
                              <w:marTop w:val="0"/>
                              <w:marBottom w:val="0"/>
                              <w:divBdr>
                                <w:top w:val="none" w:sz="0" w:space="0" w:color="auto"/>
                                <w:left w:val="none" w:sz="0" w:space="0" w:color="auto"/>
                                <w:bottom w:val="none" w:sz="0" w:space="0" w:color="auto"/>
                                <w:right w:val="none" w:sz="0" w:space="0" w:color="auto"/>
                              </w:divBdr>
                              <w:divsChild>
                                <w:div w:id="787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971269">
      <w:bodyDiv w:val="1"/>
      <w:marLeft w:val="0"/>
      <w:marRight w:val="0"/>
      <w:marTop w:val="0"/>
      <w:marBottom w:val="0"/>
      <w:divBdr>
        <w:top w:val="none" w:sz="0" w:space="0" w:color="auto"/>
        <w:left w:val="none" w:sz="0" w:space="0" w:color="auto"/>
        <w:bottom w:val="none" w:sz="0" w:space="0" w:color="auto"/>
        <w:right w:val="none" w:sz="0" w:space="0" w:color="auto"/>
      </w:divBdr>
      <w:divsChild>
        <w:div w:id="1765764451">
          <w:marLeft w:val="0"/>
          <w:marRight w:val="0"/>
          <w:marTop w:val="0"/>
          <w:marBottom w:val="0"/>
          <w:divBdr>
            <w:top w:val="none" w:sz="0" w:space="0" w:color="auto"/>
            <w:left w:val="none" w:sz="0" w:space="0" w:color="auto"/>
            <w:bottom w:val="none" w:sz="0" w:space="0" w:color="auto"/>
            <w:right w:val="none" w:sz="0" w:space="0" w:color="auto"/>
          </w:divBdr>
          <w:divsChild>
            <w:div w:id="240456101">
              <w:marLeft w:val="0"/>
              <w:marRight w:val="0"/>
              <w:marTop w:val="0"/>
              <w:marBottom w:val="0"/>
              <w:divBdr>
                <w:top w:val="none" w:sz="0" w:space="0" w:color="auto"/>
                <w:left w:val="none" w:sz="0" w:space="0" w:color="auto"/>
                <w:bottom w:val="none" w:sz="0" w:space="0" w:color="auto"/>
                <w:right w:val="none" w:sz="0" w:space="0" w:color="auto"/>
              </w:divBdr>
              <w:divsChild>
                <w:div w:id="89738613">
                  <w:marLeft w:val="0"/>
                  <w:marRight w:val="0"/>
                  <w:marTop w:val="0"/>
                  <w:marBottom w:val="0"/>
                  <w:divBdr>
                    <w:top w:val="none" w:sz="0" w:space="0" w:color="auto"/>
                    <w:left w:val="none" w:sz="0" w:space="0" w:color="auto"/>
                    <w:bottom w:val="none" w:sz="0" w:space="0" w:color="auto"/>
                    <w:right w:val="none" w:sz="0" w:space="0" w:color="auto"/>
                  </w:divBdr>
                  <w:divsChild>
                    <w:div w:id="946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74790">
      <w:bodyDiv w:val="1"/>
      <w:marLeft w:val="0"/>
      <w:marRight w:val="0"/>
      <w:marTop w:val="0"/>
      <w:marBottom w:val="0"/>
      <w:divBdr>
        <w:top w:val="none" w:sz="0" w:space="0" w:color="auto"/>
        <w:left w:val="none" w:sz="0" w:space="0" w:color="auto"/>
        <w:bottom w:val="none" w:sz="0" w:space="0" w:color="auto"/>
        <w:right w:val="none" w:sz="0" w:space="0" w:color="auto"/>
      </w:divBdr>
    </w:div>
    <w:div w:id="74831132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
          </w:divsChild>
        </w:div>
        <w:div w:id="892042397">
          <w:marLeft w:val="0"/>
          <w:marRight w:val="0"/>
          <w:marTop w:val="0"/>
          <w:marBottom w:val="0"/>
          <w:divBdr>
            <w:top w:val="none" w:sz="0" w:space="0" w:color="auto"/>
            <w:left w:val="none" w:sz="0" w:space="0" w:color="auto"/>
            <w:bottom w:val="none" w:sz="0" w:space="0" w:color="auto"/>
            <w:right w:val="none" w:sz="0" w:space="0" w:color="auto"/>
          </w:divBdr>
          <w:divsChild>
            <w:div w:id="543834345">
              <w:marLeft w:val="0"/>
              <w:marRight w:val="0"/>
              <w:marTop w:val="0"/>
              <w:marBottom w:val="0"/>
              <w:divBdr>
                <w:top w:val="none" w:sz="0" w:space="0" w:color="auto"/>
                <w:left w:val="none" w:sz="0" w:space="0" w:color="auto"/>
                <w:bottom w:val="none" w:sz="0" w:space="0" w:color="auto"/>
                <w:right w:val="none" w:sz="0" w:space="0" w:color="auto"/>
              </w:divBdr>
            </w:div>
          </w:divsChild>
        </w:div>
        <w:div w:id="1256476772">
          <w:marLeft w:val="0"/>
          <w:marRight w:val="0"/>
          <w:marTop w:val="0"/>
          <w:marBottom w:val="0"/>
          <w:divBdr>
            <w:top w:val="none" w:sz="0" w:space="0" w:color="auto"/>
            <w:left w:val="none" w:sz="0" w:space="0" w:color="auto"/>
            <w:bottom w:val="none" w:sz="0" w:space="0" w:color="auto"/>
            <w:right w:val="none" w:sz="0" w:space="0" w:color="auto"/>
          </w:divBdr>
          <w:divsChild>
            <w:div w:id="646906418">
              <w:marLeft w:val="0"/>
              <w:marRight w:val="0"/>
              <w:marTop w:val="0"/>
              <w:marBottom w:val="0"/>
              <w:divBdr>
                <w:top w:val="none" w:sz="0" w:space="0" w:color="auto"/>
                <w:left w:val="none" w:sz="0" w:space="0" w:color="auto"/>
                <w:bottom w:val="none" w:sz="0" w:space="0" w:color="auto"/>
                <w:right w:val="none" w:sz="0" w:space="0" w:color="auto"/>
              </w:divBdr>
            </w:div>
          </w:divsChild>
        </w:div>
        <w:div w:id="1452474389">
          <w:marLeft w:val="0"/>
          <w:marRight w:val="0"/>
          <w:marTop w:val="0"/>
          <w:marBottom w:val="0"/>
          <w:divBdr>
            <w:top w:val="none" w:sz="0" w:space="0" w:color="auto"/>
            <w:left w:val="none" w:sz="0" w:space="0" w:color="auto"/>
            <w:bottom w:val="none" w:sz="0" w:space="0" w:color="auto"/>
            <w:right w:val="none" w:sz="0" w:space="0" w:color="auto"/>
          </w:divBdr>
          <w:divsChild>
            <w:div w:id="1203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286">
      <w:bodyDiv w:val="1"/>
      <w:marLeft w:val="0"/>
      <w:marRight w:val="0"/>
      <w:marTop w:val="0"/>
      <w:marBottom w:val="0"/>
      <w:divBdr>
        <w:top w:val="none" w:sz="0" w:space="0" w:color="auto"/>
        <w:left w:val="none" w:sz="0" w:space="0" w:color="auto"/>
        <w:bottom w:val="none" w:sz="0" w:space="0" w:color="auto"/>
        <w:right w:val="none" w:sz="0" w:space="0" w:color="auto"/>
      </w:divBdr>
      <w:divsChild>
        <w:div w:id="1564365424">
          <w:marLeft w:val="0"/>
          <w:marRight w:val="0"/>
          <w:marTop w:val="0"/>
          <w:marBottom w:val="0"/>
          <w:divBdr>
            <w:top w:val="none" w:sz="0" w:space="0" w:color="auto"/>
            <w:left w:val="none" w:sz="0" w:space="0" w:color="auto"/>
            <w:bottom w:val="none" w:sz="0" w:space="0" w:color="auto"/>
            <w:right w:val="none" w:sz="0" w:space="0" w:color="auto"/>
          </w:divBdr>
          <w:divsChild>
            <w:div w:id="462308876">
              <w:marLeft w:val="0"/>
              <w:marRight w:val="0"/>
              <w:marTop w:val="0"/>
              <w:marBottom w:val="0"/>
              <w:divBdr>
                <w:top w:val="none" w:sz="0" w:space="0" w:color="auto"/>
                <w:left w:val="none" w:sz="0" w:space="0" w:color="auto"/>
                <w:bottom w:val="none" w:sz="0" w:space="0" w:color="auto"/>
                <w:right w:val="none" w:sz="0" w:space="0" w:color="auto"/>
              </w:divBdr>
              <w:divsChild>
                <w:div w:id="1287345595">
                  <w:marLeft w:val="0"/>
                  <w:marRight w:val="0"/>
                  <w:marTop w:val="0"/>
                  <w:marBottom w:val="0"/>
                  <w:divBdr>
                    <w:top w:val="none" w:sz="0" w:space="0" w:color="auto"/>
                    <w:left w:val="none" w:sz="0" w:space="0" w:color="auto"/>
                    <w:bottom w:val="none" w:sz="0" w:space="0" w:color="auto"/>
                    <w:right w:val="none" w:sz="0" w:space="0" w:color="auto"/>
                  </w:divBdr>
                  <w:divsChild>
                    <w:div w:id="1640107695">
                      <w:marLeft w:val="0"/>
                      <w:marRight w:val="0"/>
                      <w:marTop w:val="0"/>
                      <w:marBottom w:val="0"/>
                      <w:divBdr>
                        <w:top w:val="none" w:sz="0" w:space="0" w:color="auto"/>
                        <w:left w:val="none" w:sz="0" w:space="0" w:color="auto"/>
                        <w:bottom w:val="none" w:sz="0" w:space="0" w:color="auto"/>
                        <w:right w:val="none" w:sz="0" w:space="0" w:color="auto"/>
                      </w:divBdr>
                      <w:divsChild>
                        <w:div w:id="172260699">
                          <w:marLeft w:val="0"/>
                          <w:marRight w:val="0"/>
                          <w:marTop w:val="0"/>
                          <w:marBottom w:val="0"/>
                          <w:divBdr>
                            <w:top w:val="none" w:sz="0" w:space="0" w:color="auto"/>
                            <w:left w:val="none" w:sz="0" w:space="0" w:color="auto"/>
                            <w:bottom w:val="none" w:sz="0" w:space="0" w:color="auto"/>
                            <w:right w:val="none" w:sz="0" w:space="0" w:color="auto"/>
                          </w:divBdr>
                          <w:divsChild>
                            <w:div w:id="101999183">
                              <w:marLeft w:val="0"/>
                              <w:marRight w:val="0"/>
                              <w:marTop w:val="0"/>
                              <w:marBottom w:val="0"/>
                              <w:divBdr>
                                <w:top w:val="none" w:sz="0" w:space="0" w:color="auto"/>
                                <w:left w:val="none" w:sz="0" w:space="0" w:color="auto"/>
                                <w:bottom w:val="none" w:sz="0" w:space="0" w:color="auto"/>
                                <w:right w:val="none" w:sz="0" w:space="0" w:color="auto"/>
                              </w:divBdr>
                              <w:divsChild>
                                <w:div w:id="1265530244">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766">
                          <w:marLeft w:val="0"/>
                          <w:marRight w:val="0"/>
                          <w:marTop w:val="0"/>
                          <w:marBottom w:val="0"/>
                          <w:divBdr>
                            <w:top w:val="none" w:sz="0" w:space="0" w:color="auto"/>
                            <w:left w:val="none" w:sz="0" w:space="0" w:color="auto"/>
                            <w:bottom w:val="none" w:sz="0" w:space="0" w:color="auto"/>
                            <w:right w:val="none" w:sz="0" w:space="0" w:color="auto"/>
                          </w:divBdr>
                          <w:divsChild>
                            <w:div w:id="1828739994">
                              <w:marLeft w:val="0"/>
                              <w:marRight w:val="0"/>
                              <w:marTop w:val="0"/>
                              <w:marBottom w:val="0"/>
                              <w:divBdr>
                                <w:top w:val="none" w:sz="0" w:space="0" w:color="auto"/>
                                <w:left w:val="none" w:sz="0" w:space="0" w:color="auto"/>
                                <w:bottom w:val="none" w:sz="0" w:space="0" w:color="auto"/>
                                <w:right w:val="none" w:sz="0" w:space="0" w:color="auto"/>
                              </w:divBdr>
                              <w:divsChild>
                                <w:div w:id="1244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2745">
      <w:bodyDiv w:val="1"/>
      <w:marLeft w:val="0"/>
      <w:marRight w:val="0"/>
      <w:marTop w:val="0"/>
      <w:marBottom w:val="0"/>
      <w:divBdr>
        <w:top w:val="none" w:sz="0" w:space="0" w:color="auto"/>
        <w:left w:val="none" w:sz="0" w:space="0" w:color="auto"/>
        <w:bottom w:val="none" w:sz="0" w:space="0" w:color="auto"/>
        <w:right w:val="none" w:sz="0" w:space="0" w:color="auto"/>
      </w:divBdr>
      <w:divsChild>
        <w:div w:id="1614628556">
          <w:marLeft w:val="0"/>
          <w:marRight w:val="0"/>
          <w:marTop w:val="0"/>
          <w:marBottom w:val="0"/>
          <w:divBdr>
            <w:top w:val="none" w:sz="0" w:space="0" w:color="auto"/>
            <w:left w:val="none" w:sz="0" w:space="0" w:color="auto"/>
            <w:bottom w:val="none" w:sz="0" w:space="0" w:color="auto"/>
            <w:right w:val="none" w:sz="0" w:space="0" w:color="auto"/>
          </w:divBdr>
          <w:divsChild>
            <w:div w:id="506216465">
              <w:marLeft w:val="0"/>
              <w:marRight w:val="0"/>
              <w:marTop w:val="0"/>
              <w:marBottom w:val="0"/>
              <w:divBdr>
                <w:top w:val="none" w:sz="0" w:space="0" w:color="auto"/>
                <w:left w:val="none" w:sz="0" w:space="0" w:color="auto"/>
                <w:bottom w:val="none" w:sz="0" w:space="0" w:color="auto"/>
                <w:right w:val="none" w:sz="0" w:space="0" w:color="auto"/>
              </w:divBdr>
              <w:divsChild>
                <w:div w:id="852187516">
                  <w:marLeft w:val="0"/>
                  <w:marRight w:val="0"/>
                  <w:marTop w:val="0"/>
                  <w:marBottom w:val="0"/>
                  <w:divBdr>
                    <w:top w:val="none" w:sz="0" w:space="0" w:color="auto"/>
                    <w:left w:val="none" w:sz="0" w:space="0" w:color="auto"/>
                    <w:bottom w:val="none" w:sz="0" w:space="0" w:color="auto"/>
                    <w:right w:val="none" w:sz="0" w:space="0" w:color="auto"/>
                  </w:divBdr>
                  <w:divsChild>
                    <w:div w:id="1245146718">
                      <w:marLeft w:val="0"/>
                      <w:marRight w:val="0"/>
                      <w:marTop w:val="0"/>
                      <w:marBottom w:val="0"/>
                      <w:divBdr>
                        <w:top w:val="none" w:sz="0" w:space="0" w:color="auto"/>
                        <w:left w:val="none" w:sz="0" w:space="0" w:color="auto"/>
                        <w:bottom w:val="none" w:sz="0" w:space="0" w:color="auto"/>
                        <w:right w:val="none" w:sz="0" w:space="0" w:color="auto"/>
                      </w:divBdr>
                      <w:divsChild>
                        <w:div w:id="370956880">
                          <w:marLeft w:val="0"/>
                          <w:marRight w:val="0"/>
                          <w:marTop w:val="0"/>
                          <w:marBottom w:val="0"/>
                          <w:divBdr>
                            <w:top w:val="none" w:sz="0" w:space="0" w:color="auto"/>
                            <w:left w:val="none" w:sz="0" w:space="0" w:color="auto"/>
                            <w:bottom w:val="none" w:sz="0" w:space="0" w:color="auto"/>
                            <w:right w:val="none" w:sz="0" w:space="0" w:color="auto"/>
                          </w:divBdr>
                          <w:divsChild>
                            <w:div w:id="551043747">
                              <w:marLeft w:val="0"/>
                              <w:marRight w:val="0"/>
                              <w:marTop w:val="0"/>
                              <w:marBottom w:val="0"/>
                              <w:divBdr>
                                <w:top w:val="none" w:sz="0" w:space="0" w:color="auto"/>
                                <w:left w:val="none" w:sz="0" w:space="0" w:color="auto"/>
                                <w:bottom w:val="none" w:sz="0" w:space="0" w:color="auto"/>
                                <w:right w:val="none" w:sz="0" w:space="0" w:color="auto"/>
                              </w:divBdr>
                              <w:divsChild>
                                <w:div w:id="740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42">
                          <w:marLeft w:val="0"/>
                          <w:marRight w:val="0"/>
                          <w:marTop w:val="0"/>
                          <w:marBottom w:val="0"/>
                          <w:divBdr>
                            <w:top w:val="none" w:sz="0" w:space="0" w:color="auto"/>
                            <w:left w:val="none" w:sz="0" w:space="0" w:color="auto"/>
                            <w:bottom w:val="none" w:sz="0" w:space="0" w:color="auto"/>
                            <w:right w:val="none" w:sz="0" w:space="0" w:color="auto"/>
                          </w:divBdr>
                          <w:divsChild>
                            <w:div w:id="530530119">
                              <w:marLeft w:val="0"/>
                              <w:marRight w:val="0"/>
                              <w:marTop w:val="0"/>
                              <w:marBottom w:val="0"/>
                              <w:divBdr>
                                <w:top w:val="none" w:sz="0" w:space="0" w:color="auto"/>
                                <w:left w:val="none" w:sz="0" w:space="0" w:color="auto"/>
                                <w:bottom w:val="none" w:sz="0" w:space="0" w:color="auto"/>
                                <w:right w:val="none" w:sz="0" w:space="0" w:color="auto"/>
                              </w:divBdr>
                              <w:divsChild>
                                <w:div w:id="1182357100">
                                  <w:marLeft w:val="0"/>
                                  <w:marRight w:val="0"/>
                                  <w:marTop w:val="0"/>
                                  <w:marBottom w:val="0"/>
                                  <w:divBdr>
                                    <w:top w:val="none" w:sz="0" w:space="0" w:color="auto"/>
                                    <w:left w:val="none" w:sz="0" w:space="0" w:color="auto"/>
                                    <w:bottom w:val="none" w:sz="0" w:space="0" w:color="auto"/>
                                    <w:right w:val="none" w:sz="0" w:space="0" w:color="auto"/>
                                  </w:divBdr>
                                  <w:divsChild>
                                    <w:div w:id="13666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98949">
      <w:bodyDiv w:val="1"/>
      <w:marLeft w:val="0"/>
      <w:marRight w:val="0"/>
      <w:marTop w:val="0"/>
      <w:marBottom w:val="0"/>
      <w:divBdr>
        <w:top w:val="none" w:sz="0" w:space="0" w:color="auto"/>
        <w:left w:val="none" w:sz="0" w:space="0" w:color="auto"/>
        <w:bottom w:val="none" w:sz="0" w:space="0" w:color="auto"/>
        <w:right w:val="none" w:sz="0" w:space="0" w:color="auto"/>
      </w:divBdr>
    </w:div>
    <w:div w:id="815147816">
      <w:bodyDiv w:val="1"/>
      <w:marLeft w:val="0"/>
      <w:marRight w:val="0"/>
      <w:marTop w:val="0"/>
      <w:marBottom w:val="0"/>
      <w:divBdr>
        <w:top w:val="none" w:sz="0" w:space="0" w:color="auto"/>
        <w:left w:val="none" w:sz="0" w:space="0" w:color="auto"/>
        <w:bottom w:val="none" w:sz="0" w:space="0" w:color="auto"/>
        <w:right w:val="none" w:sz="0" w:space="0" w:color="auto"/>
      </w:divBdr>
    </w:div>
    <w:div w:id="831799002">
      <w:bodyDiv w:val="1"/>
      <w:marLeft w:val="0"/>
      <w:marRight w:val="0"/>
      <w:marTop w:val="0"/>
      <w:marBottom w:val="0"/>
      <w:divBdr>
        <w:top w:val="none" w:sz="0" w:space="0" w:color="auto"/>
        <w:left w:val="none" w:sz="0" w:space="0" w:color="auto"/>
        <w:bottom w:val="none" w:sz="0" w:space="0" w:color="auto"/>
        <w:right w:val="none" w:sz="0" w:space="0" w:color="auto"/>
      </w:divBdr>
      <w:divsChild>
        <w:div w:id="1879930472">
          <w:marLeft w:val="0"/>
          <w:marRight w:val="0"/>
          <w:marTop w:val="0"/>
          <w:marBottom w:val="0"/>
          <w:divBdr>
            <w:top w:val="none" w:sz="0" w:space="0" w:color="auto"/>
            <w:left w:val="none" w:sz="0" w:space="0" w:color="auto"/>
            <w:bottom w:val="none" w:sz="0" w:space="0" w:color="auto"/>
            <w:right w:val="none" w:sz="0" w:space="0" w:color="auto"/>
          </w:divBdr>
          <w:divsChild>
            <w:div w:id="597107110">
              <w:marLeft w:val="0"/>
              <w:marRight w:val="0"/>
              <w:marTop w:val="0"/>
              <w:marBottom w:val="0"/>
              <w:divBdr>
                <w:top w:val="none" w:sz="0" w:space="0" w:color="auto"/>
                <w:left w:val="none" w:sz="0" w:space="0" w:color="auto"/>
                <w:bottom w:val="none" w:sz="0" w:space="0" w:color="auto"/>
                <w:right w:val="none" w:sz="0" w:space="0" w:color="auto"/>
              </w:divBdr>
              <w:divsChild>
                <w:div w:id="1690909761">
                  <w:marLeft w:val="0"/>
                  <w:marRight w:val="0"/>
                  <w:marTop w:val="0"/>
                  <w:marBottom w:val="0"/>
                  <w:divBdr>
                    <w:top w:val="none" w:sz="0" w:space="0" w:color="auto"/>
                    <w:left w:val="none" w:sz="0" w:space="0" w:color="auto"/>
                    <w:bottom w:val="none" w:sz="0" w:space="0" w:color="auto"/>
                    <w:right w:val="none" w:sz="0" w:space="0" w:color="auto"/>
                  </w:divBdr>
                  <w:divsChild>
                    <w:div w:id="7470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5781">
      <w:bodyDiv w:val="1"/>
      <w:marLeft w:val="0"/>
      <w:marRight w:val="0"/>
      <w:marTop w:val="0"/>
      <w:marBottom w:val="0"/>
      <w:divBdr>
        <w:top w:val="none" w:sz="0" w:space="0" w:color="auto"/>
        <w:left w:val="none" w:sz="0" w:space="0" w:color="auto"/>
        <w:bottom w:val="none" w:sz="0" w:space="0" w:color="auto"/>
        <w:right w:val="none" w:sz="0" w:space="0" w:color="auto"/>
      </w:divBdr>
      <w:divsChild>
        <w:div w:id="2091581868">
          <w:marLeft w:val="0"/>
          <w:marRight w:val="0"/>
          <w:marTop w:val="0"/>
          <w:marBottom w:val="0"/>
          <w:divBdr>
            <w:top w:val="none" w:sz="0" w:space="0" w:color="auto"/>
            <w:left w:val="none" w:sz="0" w:space="0" w:color="auto"/>
            <w:bottom w:val="none" w:sz="0" w:space="0" w:color="auto"/>
            <w:right w:val="none" w:sz="0" w:space="0" w:color="auto"/>
          </w:divBdr>
          <w:divsChild>
            <w:div w:id="1728648470">
              <w:marLeft w:val="0"/>
              <w:marRight w:val="0"/>
              <w:marTop w:val="0"/>
              <w:marBottom w:val="0"/>
              <w:divBdr>
                <w:top w:val="none" w:sz="0" w:space="0" w:color="auto"/>
                <w:left w:val="none" w:sz="0" w:space="0" w:color="auto"/>
                <w:bottom w:val="none" w:sz="0" w:space="0" w:color="auto"/>
                <w:right w:val="none" w:sz="0" w:space="0" w:color="auto"/>
              </w:divBdr>
              <w:divsChild>
                <w:div w:id="519390979">
                  <w:marLeft w:val="0"/>
                  <w:marRight w:val="0"/>
                  <w:marTop w:val="0"/>
                  <w:marBottom w:val="0"/>
                  <w:divBdr>
                    <w:top w:val="none" w:sz="0" w:space="0" w:color="auto"/>
                    <w:left w:val="none" w:sz="0" w:space="0" w:color="auto"/>
                    <w:bottom w:val="none" w:sz="0" w:space="0" w:color="auto"/>
                    <w:right w:val="none" w:sz="0" w:space="0" w:color="auto"/>
                  </w:divBdr>
                  <w:divsChild>
                    <w:div w:id="57284877">
                      <w:marLeft w:val="0"/>
                      <w:marRight w:val="0"/>
                      <w:marTop w:val="0"/>
                      <w:marBottom w:val="0"/>
                      <w:divBdr>
                        <w:top w:val="none" w:sz="0" w:space="0" w:color="auto"/>
                        <w:left w:val="none" w:sz="0" w:space="0" w:color="auto"/>
                        <w:bottom w:val="none" w:sz="0" w:space="0" w:color="auto"/>
                        <w:right w:val="none" w:sz="0" w:space="0" w:color="auto"/>
                      </w:divBdr>
                      <w:divsChild>
                        <w:div w:id="121846241">
                          <w:marLeft w:val="0"/>
                          <w:marRight w:val="0"/>
                          <w:marTop w:val="0"/>
                          <w:marBottom w:val="0"/>
                          <w:divBdr>
                            <w:top w:val="none" w:sz="0" w:space="0" w:color="auto"/>
                            <w:left w:val="none" w:sz="0" w:space="0" w:color="auto"/>
                            <w:bottom w:val="none" w:sz="0" w:space="0" w:color="auto"/>
                            <w:right w:val="none" w:sz="0" w:space="0" w:color="auto"/>
                          </w:divBdr>
                          <w:divsChild>
                            <w:div w:id="1640720465">
                              <w:marLeft w:val="0"/>
                              <w:marRight w:val="0"/>
                              <w:marTop w:val="0"/>
                              <w:marBottom w:val="0"/>
                              <w:divBdr>
                                <w:top w:val="none" w:sz="0" w:space="0" w:color="auto"/>
                                <w:left w:val="none" w:sz="0" w:space="0" w:color="auto"/>
                                <w:bottom w:val="none" w:sz="0" w:space="0" w:color="auto"/>
                                <w:right w:val="none" w:sz="0" w:space="0" w:color="auto"/>
                              </w:divBdr>
                              <w:divsChild>
                                <w:div w:id="262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7460">
                          <w:marLeft w:val="0"/>
                          <w:marRight w:val="0"/>
                          <w:marTop w:val="0"/>
                          <w:marBottom w:val="0"/>
                          <w:divBdr>
                            <w:top w:val="none" w:sz="0" w:space="0" w:color="auto"/>
                            <w:left w:val="none" w:sz="0" w:space="0" w:color="auto"/>
                            <w:bottom w:val="none" w:sz="0" w:space="0" w:color="auto"/>
                            <w:right w:val="none" w:sz="0" w:space="0" w:color="auto"/>
                          </w:divBdr>
                          <w:divsChild>
                            <w:div w:id="94710724">
                              <w:marLeft w:val="0"/>
                              <w:marRight w:val="0"/>
                              <w:marTop w:val="0"/>
                              <w:marBottom w:val="0"/>
                              <w:divBdr>
                                <w:top w:val="none" w:sz="0" w:space="0" w:color="auto"/>
                                <w:left w:val="none" w:sz="0" w:space="0" w:color="auto"/>
                                <w:bottom w:val="none" w:sz="0" w:space="0" w:color="auto"/>
                                <w:right w:val="none" w:sz="0" w:space="0" w:color="auto"/>
                              </w:divBdr>
                              <w:divsChild>
                                <w:div w:id="1249651682">
                                  <w:marLeft w:val="0"/>
                                  <w:marRight w:val="0"/>
                                  <w:marTop w:val="0"/>
                                  <w:marBottom w:val="0"/>
                                  <w:divBdr>
                                    <w:top w:val="none" w:sz="0" w:space="0" w:color="auto"/>
                                    <w:left w:val="none" w:sz="0" w:space="0" w:color="auto"/>
                                    <w:bottom w:val="none" w:sz="0" w:space="0" w:color="auto"/>
                                    <w:right w:val="none" w:sz="0" w:space="0" w:color="auto"/>
                                  </w:divBdr>
                                  <w:divsChild>
                                    <w:div w:id="29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93735">
      <w:bodyDiv w:val="1"/>
      <w:marLeft w:val="0"/>
      <w:marRight w:val="0"/>
      <w:marTop w:val="0"/>
      <w:marBottom w:val="0"/>
      <w:divBdr>
        <w:top w:val="none" w:sz="0" w:space="0" w:color="auto"/>
        <w:left w:val="none" w:sz="0" w:space="0" w:color="auto"/>
        <w:bottom w:val="none" w:sz="0" w:space="0" w:color="auto"/>
        <w:right w:val="none" w:sz="0" w:space="0" w:color="auto"/>
      </w:divBdr>
    </w:div>
    <w:div w:id="941381456">
      <w:bodyDiv w:val="1"/>
      <w:marLeft w:val="0"/>
      <w:marRight w:val="0"/>
      <w:marTop w:val="0"/>
      <w:marBottom w:val="0"/>
      <w:divBdr>
        <w:top w:val="none" w:sz="0" w:space="0" w:color="auto"/>
        <w:left w:val="none" w:sz="0" w:space="0" w:color="auto"/>
        <w:bottom w:val="none" w:sz="0" w:space="0" w:color="auto"/>
        <w:right w:val="none" w:sz="0" w:space="0" w:color="auto"/>
      </w:divBdr>
      <w:divsChild>
        <w:div w:id="973212583">
          <w:marLeft w:val="0"/>
          <w:marRight w:val="0"/>
          <w:marTop w:val="0"/>
          <w:marBottom w:val="0"/>
          <w:divBdr>
            <w:top w:val="none" w:sz="0" w:space="0" w:color="auto"/>
            <w:left w:val="none" w:sz="0" w:space="0" w:color="auto"/>
            <w:bottom w:val="none" w:sz="0" w:space="0" w:color="auto"/>
            <w:right w:val="none" w:sz="0" w:space="0" w:color="auto"/>
          </w:divBdr>
        </w:div>
        <w:div w:id="1991247133">
          <w:marLeft w:val="0"/>
          <w:marRight w:val="0"/>
          <w:marTop w:val="0"/>
          <w:marBottom w:val="0"/>
          <w:divBdr>
            <w:top w:val="none" w:sz="0" w:space="0" w:color="auto"/>
            <w:left w:val="none" w:sz="0" w:space="0" w:color="auto"/>
            <w:bottom w:val="none" w:sz="0" w:space="0" w:color="auto"/>
            <w:right w:val="none" w:sz="0" w:space="0" w:color="auto"/>
          </w:divBdr>
        </w:div>
        <w:div w:id="2056154458">
          <w:marLeft w:val="0"/>
          <w:marRight w:val="0"/>
          <w:marTop w:val="0"/>
          <w:marBottom w:val="0"/>
          <w:divBdr>
            <w:top w:val="none" w:sz="0" w:space="0" w:color="auto"/>
            <w:left w:val="none" w:sz="0" w:space="0" w:color="auto"/>
            <w:bottom w:val="none" w:sz="0" w:space="0" w:color="auto"/>
            <w:right w:val="none" w:sz="0" w:space="0" w:color="auto"/>
          </w:divBdr>
        </w:div>
      </w:divsChild>
    </w:div>
    <w:div w:id="955335556">
      <w:bodyDiv w:val="1"/>
      <w:marLeft w:val="0"/>
      <w:marRight w:val="0"/>
      <w:marTop w:val="0"/>
      <w:marBottom w:val="0"/>
      <w:divBdr>
        <w:top w:val="none" w:sz="0" w:space="0" w:color="auto"/>
        <w:left w:val="none" w:sz="0" w:space="0" w:color="auto"/>
        <w:bottom w:val="none" w:sz="0" w:space="0" w:color="auto"/>
        <w:right w:val="none" w:sz="0" w:space="0" w:color="auto"/>
      </w:divBdr>
      <w:divsChild>
        <w:div w:id="429088606">
          <w:marLeft w:val="0"/>
          <w:marRight w:val="0"/>
          <w:marTop w:val="0"/>
          <w:marBottom w:val="0"/>
          <w:divBdr>
            <w:top w:val="none" w:sz="0" w:space="0" w:color="auto"/>
            <w:left w:val="none" w:sz="0" w:space="0" w:color="auto"/>
            <w:bottom w:val="none" w:sz="0" w:space="0" w:color="auto"/>
            <w:right w:val="none" w:sz="0" w:space="0" w:color="auto"/>
          </w:divBdr>
          <w:divsChild>
            <w:div w:id="786586137">
              <w:marLeft w:val="0"/>
              <w:marRight w:val="0"/>
              <w:marTop w:val="0"/>
              <w:marBottom w:val="0"/>
              <w:divBdr>
                <w:top w:val="none" w:sz="0" w:space="0" w:color="auto"/>
                <w:left w:val="none" w:sz="0" w:space="0" w:color="auto"/>
                <w:bottom w:val="none" w:sz="0" w:space="0" w:color="auto"/>
                <w:right w:val="none" w:sz="0" w:space="0" w:color="auto"/>
              </w:divBdr>
            </w:div>
          </w:divsChild>
        </w:div>
        <w:div w:id="694310334">
          <w:marLeft w:val="0"/>
          <w:marRight w:val="0"/>
          <w:marTop w:val="0"/>
          <w:marBottom w:val="0"/>
          <w:divBdr>
            <w:top w:val="none" w:sz="0" w:space="0" w:color="auto"/>
            <w:left w:val="none" w:sz="0" w:space="0" w:color="auto"/>
            <w:bottom w:val="none" w:sz="0" w:space="0" w:color="auto"/>
            <w:right w:val="none" w:sz="0" w:space="0" w:color="auto"/>
          </w:divBdr>
          <w:divsChild>
            <w:div w:id="967593210">
              <w:marLeft w:val="0"/>
              <w:marRight w:val="0"/>
              <w:marTop w:val="0"/>
              <w:marBottom w:val="0"/>
              <w:divBdr>
                <w:top w:val="none" w:sz="0" w:space="0" w:color="auto"/>
                <w:left w:val="none" w:sz="0" w:space="0" w:color="auto"/>
                <w:bottom w:val="none" w:sz="0" w:space="0" w:color="auto"/>
                <w:right w:val="none" w:sz="0" w:space="0" w:color="auto"/>
              </w:divBdr>
            </w:div>
          </w:divsChild>
        </w:div>
        <w:div w:id="1076051930">
          <w:marLeft w:val="0"/>
          <w:marRight w:val="0"/>
          <w:marTop w:val="0"/>
          <w:marBottom w:val="0"/>
          <w:divBdr>
            <w:top w:val="none" w:sz="0" w:space="0" w:color="auto"/>
            <w:left w:val="none" w:sz="0" w:space="0" w:color="auto"/>
            <w:bottom w:val="none" w:sz="0" w:space="0" w:color="auto"/>
            <w:right w:val="none" w:sz="0" w:space="0" w:color="auto"/>
          </w:divBdr>
          <w:divsChild>
            <w:div w:id="1404569148">
              <w:marLeft w:val="0"/>
              <w:marRight w:val="0"/>
              <w:marTop w:val="0"/>
              <w:marBottom w:val="0"/>
              <w:divBdr>
                <w:top w:val="none" w:sz="0" w:space="0" w:color="auto"/>
                <w:left w:val="none" w:sz="0" w:space="0" w:color="auto"/>
                <w:bottom w:val="none" w:sz="0" w:space="0" w:color="auto"/>
                <w:right w:val="none" w:sz="0" w:space="0" w:color="auto"/>
              </w:divBdr>
            </w:div>
          </w:divsChild>
        </w:div>
        <w:div w:id="1691102891">
          <w:marLeft w:val="0"/>
          <w:marRight w:val="0"/>
          <w:marTop w:val="0"/>
          <w:marBottom w:val="0"/>
          <w:divBdr>
            <w:top w:val="none" w:sz="0" w:space="0" w:color="auto"/>
            <w:left w:val="none" w:sz="0" w:space="0" w:color="auto"/>
            <w:bottom w:val="none" w:sz="0" w:space="0" w:color="auto"/>
            <w:right w:val="none" w:sz="0" w:space="0" w:color="auto"/>
          </w:divBdr>
          <w:divsChild>
            <w:div w:id="1211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62755505">
      <w:bodyDiv w:val="1"/>
      <w:marLeft w:val="0"/>
      <w:marRight w:val="0"/>
      <w:marTop w:val="0"/>
      <w:marBottom w:val="0"/>
      <w:divBdr>
        <w:top w:val="none" w:sz="0" w:space="0" w:color="auto"/>
        <w:left w:val="none" w:sz="0" w:space="0" w:color="auto"/>
        <w:bottom w:val="none" w:sz="0" w:space="0" w:color="auto"/>
        <w:right w:val="none" w:sz="0" w:space="0" w:color="auto"/>
      </w:divBdr>
      <w:divsChild>
        <w:div w:id="2056001509">
          <w:marLeft w:val="0"/>
          <w:marRight w:val="0"/>
          <w:marTop w:val="0"/>
          <w:marBottom w:val="0"/>
          <w:divBdr>
            <w:top w:val="single" w:sz="2" w:space="0" w:color="auto"/>
            <w:left w:val="single" w:sz="2" w:space="0" w:color="auto"/>
            <w:bottom w:val="single" w:sz="2" w:space="0" w:color="auto"/>
            <w:right w:val="single" w:sz="2" w:space="0" w:color="auto"/>
          </w:divBdr>
          <w:divsChild>
            <w:div w:id="2020427087">
              <w:marLeft w:val="0"/>
              <w:marRight w:val="0"/>
              <w:marTop w:val="0"/>
              <w:marBottom w:val="0"/>
              <w:divBdr>
                <w:top w:val="single" w:sz="2" w:space="0" w:color="auto"/>
                <w:left w:val="single" w:sz="2" w:space="0" w:color="auto"/>
                <w:bottom w:val="single" w:sz="2" w:space="0" w:color="auto"/>
                <w:right w:val="single" w:sz="2" w:space="0" w:color="auto"/>
              </w:divBdr>
              <w:divsChild>
                <w:div w:id="1536575403">
                  <w:marLeft w:val="0"/>
                  <w:marRight w:val="0"/>
                  <w:marTop w:val="0"/>
                  <w:marBottom w:val="0"/>
                  <w:divBdr>
                    <w:top w:val="single" w:sz="2" w:space="0" w:color="auto"/>
                    <w:left w:val="single" w:sz="2" w:space="0" w:color="auto"/>
                    <w:bottom w:val="single" w:sz="2" w:space="0" w:color="auto"/>
                    <w:right w:val="single" w:sz="2" w:space="0" w:color="auto"/>
                  </w:divBdr>
                  <w:divsChild>
                    <w:div w:id="1095008170">
                      <w:marLeft w:val="0"/>
                      <w:marRight w:val="0"/>
                      <w:marTop w:val="0"/>
                      <w:marBottom w:val="0"/>
                      <w:divBdr>
                        <w:top w:val="single" w:sz="2" w:space="0" w:color="auto"/>
                        <w:left w:val="single" w:sz="2" w:space="0" w:color="auto"/>
                        <w:bottom w:val="single" w:sz="2" w:space="0" w:color="auto"/>
                        <w:right w:val="single" w:sz="2" w:space="0" w:color="auto"/>
                      </w:divBdr>
                      <w:divsChild>
                        <w:div w:id="538201599">
                          <w:marLeft w:val="0"/>
                          <w:marRight w:val="0"/>
                          <w:marTop w:val="0"/>
                          <w:marBottom w:val="0"/>
                          <w:divBdr>
                            <w:top w:val="single" w:sz="2" w:space="0" w:color="auto"/>
                            <w:left w:val="single" w:sz="2" w:space="0" w:color="auto"/>
                            <w:bottom w:val="single" w:sz="2" w:space="0" w:color="auto"/>
                            <w:right w:val="single" w:sz="2" w:space="0" w:color="auto"/>
                          </w:divBdr>
                          <w:divsChild>
                            <w:div w:id="1125855196">
                              <w:marLeft w:val="0"/>
                              <w:marRight w:val="0"/>
                              <w:marTop w:val="0"/>
                              <w:marBottom w:val="0"/>
                              <w:divBdr>
                                <w:top w:val="single" w:sz="2" w:space="0" w:color="auto"/>
                                <w:left w:val="single" w:sz="2" w:space="0" w:color="auto"/>
                                <w:bottom w:val="single" w:sz="2" w:space="0" w:color="auto"/>
                                <w:right w:val="single" w:sz="2" w:space="0" w:color="auto"/>
                              </w:divBdr>
                              <w:divsChild>
                                <w:div w:id="1238785442">
                                  <w:marLeft w:val="0"/>
                                  <w:marRight w:val="0"/>
                                  <w:marTop w:val="0"/>
                                  <w:marBottom w:val="0"/>
                                  <w:divBdr>
                                    <w:top w:val="single" w:sz="2" w:space="2" w:color="auto"/>
                                    <w:left w:val="single" w:sz="2" w:space="0" w:color="auto"/>
                                    <w:bottom w:val="single" w:sz="2" w:space="0" w:color="auto"/>
                                    <w:right w:val="single" w:sz="2" w:space="0" w:color="auto"/>
                                  </w:divBdr>
                                  <w:divsChild>
                                    <w:div w:id="209689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10780530">
      <w:bodyDiv w:val="1"/>
      <w:marLeft w:val="0"/>
      <w:marRight w:val="0"/>
      <w:marTop w:val="0"/>
      <w:marBottom w:val="0"/>
      <w:divBdr>
        <w:top w:val="none" w:sz="0" w:space="0" w:color="auto"/>
        <w:left w:val="none" w:sz="0" w:space="0" w:color="auto"/>
        <w:bottom w:val="none" w:sz="0" w:space="0" w:color="auto"/>
        <w:right w:val="none" w:sz="0" w:space="0" w:color="auto"/>
      </w:divBdr>
      <w:divsChild>
        <w:div w:id="525407392">
          <w:marLeft w:val="0"/>
          <w:marRight w:val="0"/>
          <w:marTop w:val="0"/>
          <w:marBottom w:val="0"/>
          <w:divBdr>
            <w:top w:val="none" w:sz="0" w:space="0" w:color="auto"/>
            <w:left w:val="none" w:sz="0" w:space="0" w:color="auto"/>
            <w:bottom w:val="none" w:sz="0" w:space="0" w:color="auto"/>
            <w:right w:val="none" w:sz="0" w:space="0" w:color="auto"/>
          </w:divBdr>
          <w:divsChild>
            <w:div w:id="1890460295">
              <w:marLeft w:val="0"/>
              <w:marRight w:val="0"/>
              <w:marTop w:val="0"/>
              <w:marBottom w:val="0"/>
              <w:divBdr>
                <w:top w:val="none" w:sz="0" w:space="0" w:color="auto"/>
                <w:left w:val="none" w:sz="0" w:space="0" w:color="auto"/>
                <w:bottom w:val="none" w:sz="0" w:space="0" w:color="auto"/>
                <w:right w:val="none" w:sz="0" w:space="0" w:color="auto"/>
              </w:divBdr>
              <w:divsChild>
                <w:div w:id="1959681794">
                  <w:marLeft w:val="0"/>
                  <w:marRight w:val="0"/>
                  <w:marTop w:val="0"/>
                  <w:marBottom w:val="0"/>
                  <w:divBdr>
                    <w:top w:val="none" w:sz="0" w:space="0" w:color="auto"/>
                    <w:left w:val="none" w:sz="0" w:space="0" w:color="auto"/>
                    <w:bottom w:val="none" w:sz="0" w:space="0" w:color="auto"/>
                    <w:right w:val="none" w:sz="0" w:space="0" w:color="auto"/>
                  </w:divBdr>
                  <w:divsChild>
                    <w:div w:id="1787456839">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sChild>
                            <w:div w:id="650906072">
                              <w:marLeft w:val="0"/>
                              <w:marRight w:val="0"/>
                              <w:marTop w:val="0"/>
                              <w:marBottom w:val="0"/>
                              <w:divBdr>
                                <w:top w:val="none" w:sz="0" w:space="0" w:color="auto"/>
                                <w:left w:val="none" w:sz="0" w:space="0" w:color="auto"/>
                                <w:bottom w:val="none" w:sz="0" w:space="0" w:color="auto"/>
                                <w:right w:val="none" w:sz="0" w:space="0" w:color="auto"/>
                              </w:divBdr>
                              <w:divsChild>
                                <w:div w:id="1703824270">
                                  <w:marLeft w:val="0"/>
                                  <w:marRight w:val="0"/>
                                  <w:marTop w:val="0"/>
                                  <w:marBottom w:val="0"/>
                                  <w:divBdr>
                                    <w:top w:val="none" w:sz="0" w:space="0" w:color="auto"/>
                                    <w:left w:val="none" w:sz="0" w:space="0" w:color="auto"/>
                                    <w:bottom w:val="none" w:sz="0" w:space="0" w:color="auto"/>
                                    <w:right w:val="none" w:sz="0" w:space="0" w:color="auto"/>
                                  </w:divBdr>
                                  <w:divsChild>
                                    <w:div w:id="1974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3131">
      <w:bodyDiv w:val="1"/>
      <w:marLeft w:val="0"/>
      <w:marRight w:val="0"/>
      <w:marTop w:val="0"/>
      <w:marBottom w:val="0"/>
      <w:divBdr>
        <w:top w:val="none" w:sz="0" w:space="0" w:color="auto"/>
        <w:left w:val="none" w:sz="0" w:space="0" w:color="auto"/>
        <w:bottom w:val="none" w:sz="0" w:space="0" w:color="auto"/>
        <w:right w:val="none" w:sz="0" w:space="0" w:color="auto"/>
      </w:divBdr>
      <w:divsChild>
        <w:div w:id="769659930">
          <w:marLeft w:val="0"/>
          <w:marRight w:val="0"/>
          <w:marTop w:val="0"/>
          <w:marBottom w:val="0"/>
          <w:divBdr>
            <w:top w:val="none" w:sz="0" w:space="0" w:color="auto"/>
            <w:left w:val="none" w:sz="0" w:space="0" w:color="auto"/>
            <w:bottom w:val="none" w:sz="0" w:space="0" w:color="auto"/>
            <w:right w:val="none" w:sz="0" w:space="0" w:color="auto"/>
          </w:divBdr>
        </w:div>
        <w:div w:id="784738802">
          <w:marLeft w:val="0"/>
          <w:marRight w:val="0"/>
          <w:marTop w:val="0"/>
          <w:marBottom w:val="0"/>
          <w:divBdr>
            <w:top w:val="none" w:sz="0" w:space="0" w:color="auto"/>
            <w:left w:val="none" w:sz="0" w:space="0" w:color="auto"/>
            <w:bottom w:val="none" w:sz="0" w:space="0" w:color="auto"/>
            <w:right w:val="none" w:sz="0" w:space="0" w:color="auto"/>
          </w:divBdr>
        </w:div>
        <w:div w:id="894655875">
          <w:marLeft w:val="0"/>
          <w:marRight w:val="0"/>
          <w:marTop w:val="0"/>
          <w:marBottom w:val="0"/>
          <w:divBdr>
            <w:top w:val="none" w:sz="0" w:space="0" w:color="auto"/>
            <w:left w:val="none" w:sz="0" w:space="0" w:color="auto"/>
            <w:bottom w:val="none" w:sz="0" w:space="0" w:color="auto"/>
            <w:right w:val="none" w:sz="0" w:space="0" w:color="auto"/>
          </w:divBdr>
        </w:div>
        <w:div w:id="1278293945">
          <w:marLeft w:val="0"/>
          <w:marRight w:val="0"/>
          <w:marTop w:val="0"/>
          <w:marBottom w:val="0"/>
          <w:divBdr>
            <w:top w:val="none" w:sz="0" w:space="0" w:color="auto"/>
            <w:left w:val="none" w:sz="0" w:space="0" w:color="auto"/>
            <w:bottom w:val="none" w:sz="0" w:space="0" w:color="auto"/>
            <w:right w:val="none" w:sz="0" w:space="0" w:color="auto"/>
          </w:divBdr>
        </w:div>
        <w:div w:id="1297838432">
          <w:marLeft w:val="0"/>
          <w:marRight w:val="0"/>
          <w:marTop w:val="0"/>
          <w:marBottom w:val="0"/>
          <w:divBdr>
            <w:top w:val="none" w:sz="0" w:space="0" w:color="auto"/>
            <w:left w:val="none" w:sz="0" w:space="0" w:color="auto"/>
            <w:bottom w:val="none" w:sz="0" w:space="0" w:color="auto"/>
            <w:right w:val="none" w:sz="0" w:space="0" w:color="auto"/>
          </w:divBdr>
        </w:div>
        <w:div w:id="1561817700">
          <w:marLeft w:val="0"/>
          <w:marRight w:val="0"/>
          <w:marTop w:val="0"/>
          <w:marBottom w:val="0"/>
          <w:divBdr>
            <w:top w:val="none" w:sz="0" w:space="0" w:color="auto"/>
            <w:left w:val="none" w:sz="0" w:space="0" w:color="auto"/>
            <w:bottom w:val="none" w:sz="0" w:space="0" w:color="auto"/>
            <w:right w:val="none" w:sz="0" w:space="0" w:color="auto"/>
          </w:divBdr>
        </w:div>
        <w:div w:id="1701512769">
          <w:marLeft w:val="0"/>
          <w:marRight w:val="0"/>
          <w:marTop w:val="0"/>
          <w:marBottom w:val="0"/>
          <w:divBdr>
            <w:top w:val="none" w:sz="0" w:space="0" w:color="auto"/>
            <w:left w:val="none" w:sz="0" w:space="0" w:color="auto"/>
            <w:bottom w:val="none" w:sz="0" w:space="0" w:color="auto"/>
            <w:right w:val="none" w:sz="0" w:space="0" w:color="auto"/>
          </w:divBdr>
        </w:div>
      </w:divsChild>
    </w:div>
    <w:div w:id="1134639323">
      <w:bodyDiv w:val="1"/>
      <w:marLeft w:val="0"/>
      <w:marRight w:val="0"/>
      <w:marTop w:val="0"/>
      <w:marBottom w:val="0"/>
      <w:divBdr>
        <w:top w:val="none" w:sz="0" w:space="0" w:color="auto"/>
        <w:left w:val="none" w:sz="0" w:space="0" w:color="auto"/>
        <w:bottom w:val="none" w:sz="0" w:space="0" w:color="auto"/>
        <w:right w:val="none" w:sz="0" w:space="0" w:color="auto"/>
      </w:divBdr>
    </w:div>
    <w:div w:id="1135946947">
      <w:bodyDiv w:val="1"/>
      <w:marLeft w:val="0"/>
      <w:marRight w:val="0"/>
      <w:marTop w:val="0"/>
      <w:marBottom w:val="0"/>
      <w:divBdr>
        <w:top w:val="none" w:sz="0" w:space="0" w:color="auto"/>
        <w:left w:val="none" w:sz="0" w:space="0" w:color="auto"/>
        <w:bottom w:val="none" w:sz="0" w:space="0" w:color="auto"/>
        <w:right w:val="none" w:sz="0" w:space="0" w:color="auto"/>
      </w:divBdr>
    </w:div>
    <w:div w:id="1159341749">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231816998">
      <w:bodyDiv w:val="1"/>
      <w:marLeft w:val="0"/>
      <w:marRight w:val="0"/>
      <w:marTop w:val="0"/>
      <w:marBottom w:val="0"/>
      <w:divBdr>
        <w:top w:val="none" w:sz="0" w:space="0" w:color="auto"/>
        <w:left w:val="none" w:sz="0" w:space="0" w:color="auto"/>
        <w:bottom w:val="none" w:sz="0" w:space="0" w:color="auto"/>
        <w:right w:val="none" w:sz="0" w:space="0" w:color="auto"/>
      </w:divBdr>
    </w:div>
    <w:div w:id="1266157661">
      <w:bodyDiv w:val="1"/>
      <w:marLeft w:val="0"/>
      <w:marRight w:val="0"/>
      <w:marTop w:val="0"/>
      <w:marBottom w:val="0"/>
      <w:divBdr>
        <w:top w:val="none" w:sz="0" w:space="0" w:color="auto"/>
        <w:left w:val="none" w:sz="0" w:space="0" w:color="auto"/>
        <w:bottom w:val="none" w:sz="0" w:space="0" w:color="auto"/>
        <w:right w:val="none" w:sz="0" w:space="0" w:color="auto"/>
      </w:divBdr>
    </w:div>
    <w:div w:id="1274286281">
      <w:bodyDiv w:val="1"/>
      <w:marLeft w:val="0"/>
      <w:marRight w:val="0"/>
      <w:marTop w:val="0"/>
      <w:marBottom w:val="0"/>
      <w:divBdr>
        <w:top w:val="none" w:sz="0" w:space="0" w:color="auto"/>
        <w:left w:val="none" w:sz="0" w:space="0" w:color="auto"/>
        <w:bottom w:val="none" w:sz="0" w:space="0" w:color="auto"/>
        <w:right w:val="none" w:sz="0" w:space="0" w:color="auto"/>
      </w:divBdr>
      <w:divsChild>
        <w:div w:id="209806131">
          <w:marLeft w:val="0"/>
          <w:marRight w:val="0"/>
          <w:marTop w:val="0"/>
          <w:marBottom w:val="0"/>
          <w:divBdr>
            <w:top w:val="none" w:sz="0" w:space="0" w:color="auto"/>
            <w:left w:val="none" w:sz="0" w:space="0" w:color="auto"/>
            <w:bottom w:val="none" w:sz="0" w:space="0" w:color="auto"/>
            <w:right w:val="none" w:sz="0" w:space="0" w:color="auto"/>
          </w:divBdr>
          <w:divsChild>
            <w:div w:id="1583682378">
              <w:marLeft w:val="0"/>
              <w:marRight w:val="0"/>
              <w:marTop w:val="0"/>
              <w:marBottom w:val="0"/>
              <w:divBdr>
                <w:top w:val="none" w:sz="0" w:space="0" w:color="auto"/>
                <w:left w:val="none" w:sz="0" w:space="0" w:color="auto"/>
                <w:bottom w:val="none" w:sz="0" w:space="0" w:color="auto"/>
                <w:right w:val="none" w:sz="0" w:space="0" w:color="auto"/>
              </w:divBdr>
              <w:divsChild>
                <w:div w:id="876968604">
                  <w:marLeft w:val="0"/>
                  <w:marRight w:val="0"/>
                  <w:marTop w:val="0"/>
                  <w:marBottom w:val="0"/>
                  <w:divBdr>
                    <w:top w:val="none" w:sz="0" w:space="0" w:color="auto"/>
                    <w:left w:val="none" w:sz="0" w:space="0" w:color="auto"/>
                    <w:bottom w:val="none" w:sz="0" w:space="0" w:color="auto"/>
                    <w:right w:val="none" w:sz="0" w:space="0" w:color="auto"/>
                  </w:divBdr>
                  <w:divsChild>
                    <w:div w:id="15633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131">
      <w:bodyDiv w:val="1"/>
      <w:marLeft w:val="0"/>
      <w:marRight w:val="0"/>
      <w:marTop w:val="0"/>
      <w:marBottom w:val="0"/>
      <w:divBdr>
        <w:top w:val="none" w:sz="0" w:space="0" w:color="auto"/>
        <w:left w:val="none" w:sz="0" w:space="0" w:color="auto"/>
        <w:bottom w:val="none" w:sz="0" w:space="0" w:color="auto"/>
        <w:right w:val="none" w:sz="0" w:space="0" w:color="auto"/>
      </w:divBdr>
    </w:div>
    <w:div w:id="1290739715">
      <w:bodyDiv w:val="1"/>
      <w:marLeft w:val="0"/>
      <w:marRight w:val="0"/>
      <w:marTop w:val="0"/>
      <w:marBottom w:val="0"/>
      <w:divBdr>
        <w:top w:val="none" w:sz="0" w:space="0" w:color="auto"/>
        <w:left w:val="none" w:sz="0" w:space="0" w:color="auto"/>
        <w:bottom w:val="none" w:sz="0" w:space="0" w:color="auto"/>
        <w:right w:val="none" w:sz="0" w:space="0" w:color="auto"/>
      </w:divBdr>
    </w:div>
    <w:div w:id="1322000261">
      <w:bodyDiv w:val="1"/>
      <w:marLeft w:val="0"/>
      <w:marRight w:val="0"/>
      <w:marTop w:val="0"/>
      <w:marBottom w:val="0"/>
      <w:divBdr>
        <w:top w:val="none" w:sz="0" w:space="0" w:color="auto"/>
        <w:left w:val="none" w:sz="0" w:space="0" w:color="auto"/>
        <w:bottom w:val="none" w:sz="0" w:space="0" w:color="auto"/>
        <w:right w:val="none" w:sz="0" w:space="0" w:color="auto"/>
      </w:divBdr>
    </w:div>
    <w:div w:id="1348412624">
      <w:bodyDiv w:val="1"/>
      <w:marLeft w:val="0"/>
      <w:marRight w:val="0"/>
      <w:marTop w:val="0"/>
      <w:marBottom w:val="0"/>
      <w:divBdr>
        <w:top w:val="none" w:sz="0" w:space="0" w:color="auto"/>
        <w:left w:val="none" w:sz="0" w:space="0" w:color="auto"/>
        <w:bottom w:val="none" w:sz="0" w:space="0" w:color="auto"/>
        <w:right w:val="none" w:sz="0" w:space="0" w:color="auto"/>
      </w:divBdr>
      <w:divsChild>
        <w:div w:id="445126439">
          <w:marLeft w:val="0"/>
          <w:marRight w:val="0"/>
          <w:marTop w:val="0"/>
          <w:marBottom w:val="0"/>
          <w:divBdr>
            <w:top w:val="none" w:sz="0" w:space="0" w:color="auto"/>
            <w:left w:val="none" w:sz="0" w:space="0" w:color="auto"/>
            <w:bottom w:val="none" w:sz="0" w:space="0" w:color="auto"/>
            <w:right w:val="none" w:sz="0" w:space="0" w:color="auto"/>
          </w:divBdr>
          <w:divsChild>
            <w:div w:id="1188257449">
              <w:marLeft w:val="0"/>
              <w:marRight w:val="0"/>
              <w:marTop w:val="0"/>
              <w:marBottom w:val="0"/>
              <w:divBdr>
                <w:top w:val="none" w:sz="0" w:space="0" w:color="auto"/>
                <w:left w:val="none" w:sz="0" w:space="0" w:color="auto"/>
                <w:bottom w:val="none" w:sz="0" w:space="0" w:color="auto"/>
                <w:right w:val="none" w:sz="0" w:space="0" w:color="auto"/>
              </w:divBdr>
              <w:divsChild>
                <w:div w:id="482696701">
                  <w:marLeft w:val="0"/>
                  <w:marRight w:val="0"/>
                  <w:marTop w:val="0"/>
                  <w:marBottom w:val="0"/>
                  <w:divBdr>
                    <w:top w:val="none" w:sz="0" w:space="0" w:color="auto"/>
                    <w:left w:val="none" w:sz="0" w:space="0" w:color="auto"/>
                    <w:bottom w:val="none" w:sz="0" w:space="0" w:color="auto"/>
                    <w:right w:val="none" w:sz="0" w:space="0" w:color="auto"/>
                  </w:divBdr>
                  <w:divsChild>
                    <w:div w:id="1684698858">
                      <w:marLeft w:val="0"/>
                      <w:marRight w:val="0"/>
                      <w:marTop w:val="0"/>
                      <w:marBottom w:val="0"/>
                      <w:divBdr>
                        <w:top w:val="none" w:sz="0" w:space="0" w:color="auto"/>
                        <w:left w:val="none" w:sz="0" w:space="0" w:color="auto"/>
                        <w:bottom w:val="none" w:sz="0" w:space="0" w:color="auto"/>
                        <w:right w:val="none" w:sz="0" w:space="0" w:color="auto"/>
                      </w:divBdr>
                      <w:divsChild>
                        <w:div w:id="775835593">
                          <w:marLeft w:val="0"/>
                          <w:marRight w:val="0"/>
                          <w:marTop w:val="0"/>
                          <w:marBottom w:val="0"/>
                          <w:divBdr>
                            <w:top w:val="none" w:sz="0" w:space="0" w:color="auto"/>
                            <w:left w:val="none" w:sz="0" w:space="0" w:color="auto"/>
                            <w:bottom w:val="none" w:sz="0" w:space="0" w:color="auto"/>
                            <w:right w:val="none" w:sz="0" w:space="0" w:color="auto"/>
                          </w:divBdr>
                          <w:divsChild>
                            <w:div w:id="722407850">
                              <w:marLeft w:val="0"/>
                              <w:marRight w:val="0"/>
                              <w:marTop w:val="0"/>
                              <w:marBottom w:val="0"/>
                              <w:divBdr>
                                <w:top w:val="none" w:sz="0" w:space="0" w:color="auto"/>
                                <w:left w:val="none" w:sz="0" w:space="0" w:color="auto"/>
                                <w:bottom w:val="none" w:sz="0" w:space="0" w:color="auto"/>
                                <w:right w:val="none" w:sz="0" w:space="0" w:color="auto"/>
                              </w:divBdr>
                              <w:divsChild>
                                <w:div w:id="880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817">
                          <w:marLeft w:val="0"/>
                          <w:marRight w:val="0"/>
                          <w:marTop w:val="0"/>
                          <w:marBottom w:val="0"/>
                          <w:divBdr>
                            <w:top w:val="none" w:sz="0" w:space="0" w:color="auto"/>
                            <w:left w:val="none" w:sz="0" w:space="0" w:color="auto"/>
                            <w:bottom w:val="none" w:sz="0" w:space="0" w:color="auto"/>
                            <w:right w:val="none" w:sz="0" w:space="0" w:color="auto"/>
                          </w:divBdr>
                          <w:divsChild>
                            <w:div w:id="1461344242">
                              <w:marLeft w:val="0"/>
                              <w:marRight w:val="0"/>
                              <w:marTop w:val="0"/>
                              <w:marBottom w:val="0"/>
                              <w:divBdr>
                                <w:top w:val="none" w:sz="0" w:space="0" w:color="auto"/>
                                <w:left w:val="none" w:sz="0" w:space="0" w:color="auto"/>
                                <w:bottom w:val="none" w:sz="0" w:space="0" w:color="auto"/>
                                <w:right w:val="none" w:sz="0" w:space="0" w:color="auto"/>
                              </w:divBdr>
                              <w:divsChild>
                                <w:div w:id="529340106">
                                  <w:marLeft w:val="0"/>
                                  <w:marRight w:val="0"/>
                                  <w:marTop w:val="0"/>
                                  <w:marBottom w:val="0"/>
                                  <w:divBdr>
                                    <w:top w:val="none" w:sz="0" w:space="0" w:color="auto"/>
                                    <w:left w:val="none" w:sz="0" w:space="0" w:color="auto"/>
                                    <w:bottom w:val="none" w:sz="0" w:space="0" w:color="auto"/>
                                    <w:right w:val="none" w:sz="0" w:space="0" w:color="auto"/>
                                  </w:divBdr>
                                  <w:divsChild>
                                    <w:div w:id="714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216">
      <w:bodyDiv w:val="1"/>
      <w:marLeft w:val="0"/>
      <w:marRight w:val="0"/>
      <w:marTop w:val="0"/>
      <w:marBottom w:val="0"/>
      <w:divBdr>
        <w:top w:val="none" w:sz="0" w:space="0" w:color="auto"/>
        <w:left w:val="none" w:sz="0" w:space="0" w:color="auto"/>
        <w:bottom w:val="none" w:sz="0" w:space="0" w:color="auto"/>
        <w:right w:val="none" w:sz="0" w:space="0" w:color="auto"/>
      </w:divBdr>
      <w:divsChild>
        <w:div w:id="339240372">
          <w:marLeft w:val="0"/>
          <w:marRight w:val="0"/>
          <w:marTop w:val="0"/>
          <w:marBottom w:val="0"/>
          <w:divBdr>
            <w:top w:val="none" w:sz="0" w:space="0" w:color="auto"/>
            <w:left w:val="none" w:sz="0" w:space="0" w:color="auto"/>
            <w:bottom w:val="none" w:sz="0" w:space="0" w:color="auto"/>
            <w:right w:val="none" w:sz="0" w:space="0" w:color="auto"/>
          </w:divBdr>
          <w:divsChild>
            <w:div w:id="1630818120">
              <w:marLeft w:val="0"/>
              <w:marRight w:val="0"/>
              <w:marTop w:val="0"/>
              <w:marBottom w:val="0"/>
              <w:divBdr>
                <w:top w:val="none" w:sz="0" w:space="0" w:color="auto"/>
                <w:left w:val="none" w:sz="0" w:space="0" w:color="auto"/>
                <w:bottom w:val="none" w:sz="0" w:space="0" w:color="auto"/>
                <w:right w:val="none" w:sz="0" w:space="0" w:color="auto"/>
              </w:divBdr>
            </w:div>
          </w:divsChild>
        </w:div>
        <w:div w:id="362707129">
          <w:marLeft w:val="0"/>
          <w:marRight w:val="0"/>
          <w:marTop w:val="0"/>
          <w:marBottom w:val="0"/>
          <w:divBdr>
            <w:top w:val="none" w:sz="0" w:space="0" w:color="auto"/>
            <w:left w:val="none" w:sz="0" w:space="0" w:color="auto"/>
            <w:bottom w:val="none" w:sz="0" w:space="0" w:color="auto"/>
            <w:right w:val="none" w:sz="0" w:space="0" w:color="auto"/>
          </w:divBdr>
          <w:divsChild>
            <w:div w:id="114953808">
              <w:marLeft w:val="0"/>
              <w:marRight w:val="0"/>
              <w:marTop w:val="0"/>
              <w:marBottom w:val="0"/>
              <w:divBdr>
                <w:top w:val="none" w:sz="0" w:space="0" w:color="auto"/>
                <w:left w:val="none" w:sz="0" w:space="0" w:color="auto"/>
                <w:bottom w:val="none" w:sz="0" w:space="0" w:color="auto"/>
                <w:right w:val="none" w:sz="0" w:space="0" w:color="auto"/>
              </w:divBdr>
            </w:div>
          </w:divsChild>
        </w:div>
        <w:div w:id="733814867">
          <w:marLeft w:val="0"/>
          <w:marRight w:val="0"/>
          <w:marTop w:val="0"/>
          <w:marBottom w:val="0"/>
          <w:divBdr>
            <w:top w:val="none" w:sz="0" w:space="0" w:color="auto"/>
            <w:left w:val="none" w:sz="0" w:space="0" w:color="auto"/>
            <w:bottom w:val="none" w:sz="0" w:space="0" w:color="auto"/>
            <w:right w:val="none" w:sz="0" w:space="0" w:color="auto"/>
          </w:divBdr>
          <w:divsChild>
            <w:div w:id="1464037405">
              <w:marLeft w:val="0"/>
              <w:marRight w:val="0"/>
              <w:marTop w:val="0"/>
              <w:marBottom w:val="0"/>
              <w:divBdr>
                <w:top w:val="none" w:sz="0" w:space="0" w:color="auto"/>
                <w:left w:val="none" w:sz="0" w:space="0" w:color="auto"/>
                <w:bottom w:val="none" w:sz="0" w:space="0" w:color="auto"/>
                <w:right w:val="none" w:sz="0" w:space="0" w:color="auto"/>
              </w:divBdr>
            </w:div>
          </w:divsChild>
        </w:div>
        <w:div w:id="738753492">
          <w:marLeft w:val="0"/>
          <w:marRight w:val="0"/>
          <w:marTop w:val="0"/>
          <w:marBottom w:val="0"/>
          <w:divBdr>
            <w:top w:val="none" w:sz="0" w:space="0" w:color="auto"/>
            <w:left w:val="none" w:sz="0" w:space="0" w:color="auto"/>
            <w:bottom w:val="none" w:sz="0" w:space="0" w:color="auto"/>
            <w:right w:val="none" w:sz="0" w:space="0" w:color="auto"/>
          </w:divBdr>
          <w:divsChild>
            <w:div w:id="1621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663">
      <w:bodyDiv w:val="1"/>
      <w:marLeft w:val="0"/>
      <w:marRight w:val="0"/>
      <w:marTop w:val="0"/>
      <w:marBottom w:val="0"/>
      <w:divBdr>
        <w:top w:val="none" w:sz="0" w:space="0" w:color="auto"/>
        <w:left w:val="none" w:sz="0" w:space="0" w:color="auto"/>
        <w:bottom w:val="none" w:sz="0" w:space="0" w:color="auto"/>
        <w:right w:val="none" w:sz="0" w:space="0" w:color="auto"/>
      </w:divBdr>
    </w:div>
    <w:div w:id="1465152793">
      <w:bodyDiv w:val="1"/>
      <w:marLeft w:val="0"/>
      <w:marRight w:val="0"/>
      <w:marTop w:val="0"/>
      <w:marBottom w:val="0"/>
      <w:divBdr>
        <w:top w:val="none" w:sz="0" w:space="0" w:color="auto"/>
        <w:left w:val="none" w:sz="0" w:space="0" w:color="auto"/>
        <w:bottom w:val="none" w:sz="0" w:space="0" w:color="auto"/>
        <w:right w:val="none" w:sz="0" w:space="0" w:color="auto"/>
      </w:divBdr>
      <w:divsChild>
        <w:div w:id="1291939953">
          <w:marLeft w:val="0"/>
          <w:marRight w:val="0"/>
          <w:marTop w:val="0"/>
          <w:marBottom w:val="0"/>
          <w:divBdr>
            <w:top w:val="none" w:sz="0" w:space="0" w:color="auto"/>
            <w:left w:val="none" w:sz="0" w:space="0" w:color="auto"/>
            <w:bottom w:val="none" w:sz="0" w:space="0" w:color="auto"/>
            <w:right w:val="none" w:sz="0" w:space="0" w:color="auto"/>
          </w:divBdr>
          <w:divsChild>
            <w:div w:id="705180934">
              <w:marLeft w:val="0"/>
              <w:marRight w:val="0"/>
              <w:marTop w:val="0"/>
              <w:marBottom w:val="0"/>
              <w:divBdr>
                <w:top w:val="none" w:sz="0" w:space="0" w:color="auto"/>
                <w:left w:val="none" w:sz="0" w:space="0" w:color="auto"/>
                <w:bottom w:val="none" w:sz="0" w:space="0" w:color="auto"/>
                <w:right w:val="none" w:sz="0" w:space="0" w:color="auto"/>
              </w:divBdr>
              <w:divsChild>
                <w:div w:id="2019456136">
                  <w:marLeft w:val="0"/>
                  <w:marRight w:val="0"/>
                  <w:marTop w:val="0"/>
                  <w:marBottom w:val="0"/>
                  <w:divBdr>
                    <w:top w:val="none" w:sz="0" w:space="0" w:color="auto"/>
                    <w:left w:val="none" w:sz="0" w:space="0" w:color="auto"/>
                    <w:bottom w:val="none" w:sz="0" w:space="0" w:color="auto"/>
                    <w:right w:val="none" w:sz="0" w:space="0" w:color="auto"/>
                  </w:divBdr>
                  <w:divsChild>
                    <w:div w:id="1080062250">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sChild>
                            <w:div w:id="328219711">
                              <w:marLeft w:val="0"/>
                              <w:marRight w:val="0"/>
                              <w:marTop w:val="0"/>
                              <w:marBottom w:val="0"/>
                              <w:divBdr>
                                <w:top w:val="none" w:sz="0" w:space="0" w:color="auto"/>
                                <w:left w:val="none" w:sz="0" w:space="0" w:color="auto"/>
                                <w:bottom w:val="none" w:sz="0" w:space="0" w:color="auto"/>
                                <w:right w:val="none" w:sz="0" w:space="0" w:color="auto"/>
                              </w:divBdr>
                              <w:divsChild>
                                <w:div w:id="651565041">
                                  <w:marLeft w:val="0"/>
                                  <w:marRight w:val="0"/>
                                  <w:marTop w:val="0"/>
                                  <w:marBottom w:val="0"/>
                                  <w:divBdr>
                                    <w:top w:val="none" w:sz="0" w:space="0" w:color="auto"/>
                                    <w:left w:val="none" w:sz="0" w:space="0" w:color="auto"/>
                                    <w:bottom w:val="none" w:sz="0" w:space="0" w:color="auto"/>
                                    <w:right w:val="none" w:sz="0" w:space="0" w:color="auto"/>
                                  </w:divBdr>
                                  <w:divsChild>
                                    <w:div w:id="1694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536">
                          <w:marLeft w:val="0"/>
                          <w:marRight w:val="0"/>
                          <w:marTop w:val="0"/>
                          <w:marBottom w:val="0"/>
                          <w:divBdr>
                            <w:top w:val="none" w:sz="0" w:space="0" w:color="auto"/>
                            <w:left w:val="none" w:sz="0" w:space="0" w:color="auto"/>
                            <w:bottom w:val="none" w:sz="0" w:space="0" w:color="auto"/>
                            <w:right w:val="none" w:sz="0" w:space="0" w:color="auto"/>
                          </w:divBdr>
                          <w:divsChild>
                            <w:div w:id="2011370236">
                              <w:marLeft w:val="0"/>
                              <w:marRight w:val="0"/>
                              <w:marTop w:val="0"/>
                              <w:marBottom w:val="0"/>
                              <w:divBdr>
                                <w:top w:val="none" w:sz="0" w:space="0" w:color="auto"/>
                                <w:left w:val="none" w:sz="0" w:space="0" w:color="auto"/>
                                <w:bottom w:val="none" w:sz="0" w:space="0" w:color="auto"/>
                                <w:right w:val="none" w:sz="0" w:space="0" w:color="auto"/>
                              </w:divBdr>
                              <w:divsChild>
                                <w:div w:id="1099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4718">
      <w:bodyDiv w:val="1"/>
      <w:marLeft w:val="0"/>
      <w:marRight w:val="0"/>
      <w:marTop w:val="0"/>
      <w:marBottom w:val="0"/>
      <w:divBdr>
        <w:top w:val="none" w:sz="0" w:space="0" w:color="auto"/>
        <w:left w:val="none" w:sz="0" w:space="0" w:color="auto"/>
        <w:bottom w:val="none" w:sz="0" w:space="0" w:color="auto"/>
        <w:right w:val="none" w:sz="0" w:space="0" w:color="auto"/>
      </w:divBdr>
      <w:divsChild>
        <w:div w:id="540943237">
          <w:marLeft w:val="0"/>
          <w:marRight w:val="0"/>
          <w:marTop w:val="0"/>
          <w:marBottom w:val="0"/>
          <w:divBdr>
            <w:top w:val="none" w:sz="0" w:space="0" w:color="auto"/>
            <w:left w:val="none" w:sz="0" w:space="0" w:color="auto"/>
            <w:bottom w:val="none" w:sz="0" w:space="0" w:color="auto"/>
            <w:right w:val="none" w:sz="0" w:space="0" w:color="auto"/>
          </w:divBdr>
        </w:div>
        <w:div w:id="998073894">
          <w:marLeft w:val="0"/>
          <w:marRight w:val="0"/>
          <w:marTop w:val="0"/>
          <w:marBottom w:val="0"/>
          <w:divBdr>
            <w:top w:val="none" w:sz="0" w:space="0" w:color="auto"/>
            <w:left w:val="none" w:sz="0" w:space="0" w:color="auto"/>
            <w:bottom w:val="none" w:sz="0" w:space="0" w:color="auto"/>
            <w:right w:val="none" w:sz="0" w:space="0" w:color="auto"/>
          </w:divBdr>
        </w:div>
        <w:div w:id="1351645451">
          <w:marLeft w:val="0"/>
          <w:marRight w:val="0"/>
          <w:marTop w:val="0"/>
          <w:marBottom w:val="0"/>
          <w:divBdr>
            <w:top w:val="none" w:sz="0" w:space="0" w:color="auto"/>
            <w:left w:val="none" w:sz="0" w:space="0" w:color="auto"/>
            <w:bottom w:val="none" w:sz="0" w:space="0" w:color="auto"/>
            <w:right w:val="none" w:sz="0" w:space="0" w:color="auto"/>
          </w:divBdr>
        </w:div>
      </w:divsChild>
    </w:div>
    <w:div w:id="1516797695">
      <w:bodyDiv w:val="1"/>
      <w:marLeft w:val="0"/>
      <w:marRight w:val="0"/>
      <w:marTop w:val="0"/>
      <w:marBottom w:val="0"/>
      <w:divBdr>
        <w:top w:val="none" w:sz="0" w:space="0" w:color="auto"/>
        <w:left w:val="none" w:sz="0" w:space="0" w:color="auto"/>
        <w:bottom w:val="none" w:sz="0" w:space="0" w:color="auto"/>
        <w:right w:val="none" w:sz="0" w:space="0" w:color="auto"/>
      </w:divBdr>
      <w:divsChild>
        <w:div w:id="25838145">
          <w:marLeft w:val="0"/>
          <w:marRight w:val="0"/>
          <w:marTop w:val="0"/>
          <w:marBottom w:val="0"/>
          <w:divBdr>
            <w:top w:val="none" w:sz="0" w:space="0" w:color="auto"/>
            <w:left w:val="none" w:sz="0" w:space="0" w:color="auto"/>
            <w:bottom w:val="none" w:sz="0" w:space="0" w:color="auto"/>
            <w:right w:val="none" w:sz="0" w:space="0" w:color="auto"/>
          </w:divBdr>
          <w:divsChild>
            <w:div w:id="1605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390">
      <w:bodyDiv w:val="1"/>
      <w:marLeft w:val="0"/>
      <w:marRight w:val="0"/>
      <w:marTop w:val="0"/>
      <w:marBottom w:val="0"/>
      <w:divBdr>
        <w:top w:val="none" w:sz="0" w:space="0" w:color="auto"/>
        <w:left w:val="none" w:sz="0" w:space="0" w:color="auto"/>
        <w:bottom w:val="none" w:sz="0" w:space="0" w:color="auto"/>
        <w:right w:val="none" w:sz="0" w:space="0" w:color="auto"/>
      </w:divBdr>
    </w:div>
    <w:div w:id="1542785754">
      <w:bodyDiv w:val="1"/>
      <w:marLeft w:val="0"/>
      <w:marRight w:val="0"/>
      <w:marTop w:val="0"/>
      <w:marBottom w:val="0"/>
      <w:divBdr>
        <w:top w:val="none" w:sz="0" w:space="0" w:color="auto"/>
        <w:left w:val="none" w:sz="0" w:space="0" w:color="auto"/>
        <w:bottom w:val="none" w:sz="0" w:space="0" w:color="auto"/>
        <w:right w:val="none" w:sz="0" w:space="0" w:color="auto"/>
      </w:divBdr>
    </w:div>
    <w:div w:id="1555654010">
      <w:bodyDiv w:val="1"/>
      <w:marLeft w:val="0"/>
      <w:marRight w:val="0"/>
      <w:marTop w:val="0"/>
      <w:marBottom w:val="0"/>
      <w:divBdr>
        <w:top w:val="none" w:sz="0" w:space="0" w:color="auto"/>
        <w:left w:val="none" w:sz="0" w:space="0" w:color="auto"/>
        <w:bottom w:val="none" w:sz="0" w:space="0" w:color="auto"/>
        <w:right w:val="none" w:sz="0" w:space="0" w:color="auto"/>
      </w:divBdr>
    </w:div>
    <w:div w:id="1582254649">
      <w:bodyDiv w:val="1"/>
      <w:marLeft w:val="0"/>
      <w:marRight w:val="0"/>
      <w:marTop w:val="0"/>
      <w:marBottom w:val="0"/>
      <w:divBdr>
        <w:top w:val="none" w:sz="0" w:space="0" w:color="auto"/>
        <w:left w:val="none" w:sz="0" w:space="0" w:color="auto"/>
        <w:bottom w:val="none" w:sz="0" w:space="0" w:color="auto"/>
        <w:right w:val="none" w:sz="0" w:space="0" w:color="auto"/>
      </w:divBdr>
      <w:divsChild>
        <w:div w:id="1438478383">
          <w:marLeft w:val="0"/>
          <w:marRight w:val="0"/>
          <w:marTop w:val="0"/>
          <w:marBottom w:val="0"/>
          <w:divBdr>
            <w:top w:val="none" w:sz="0" w:space="0" w:color="auto"/>
            <w:left w:val="none" w:sz="0" w:space="0" w:color="auto"/>
            <w:bottom w:val="none" w:sz="0" w:space="0" w:color="auto"/>
            <w:right w:val="none" w:sz="0" w:space="0" w:color="auto"/>
          </w:divBdr>
          <w:divsChild>
            <w:div w:id="730734500">
              <w:marLeft w:val="0"/>
              <w:marRight w:val="0"/>
              <w:marTop w:val="0"/>
              <w:marBottom w:val="0"/>
              <w:divBdr>
                <w:top w:val="none" w:sz="0" w:space="0" w:color="auto"/>
                <w:left w:val="none" w:sz="0" w:space="0" w:color="auto"/>
                <w:bottom w:val="none" w:sz="0" w:space="0" w:color="auto"/>
                <w:right w:val="none" w:sz="0" w:space="0" w:color="auto"/>
              </w:divBdr>
              <w:divsChild>
                <w:div w:id="522327760">
                  <w:marLeft w:val="0"/>
                  <w:marRight w:val="0"/>
                  <w:marTop w:val="0"/>
                  <w:marBottom w:val="0"/>
                  <w:divBdr>
                    <w:top w:val="none" w:sz="0" w:space="0" w:color="auto"/>
                    <w:left w:val="none" w:sz="0" w:space="0" w:color="auto"/>
                    <w:bottom w:val="none" w:sz="0" w:space="0" w:color="auto"/>
                    <w:right w:val="none" w:sz="0" w:space="0" w:color="auto"/>
                  </w:divBdr>
                  <w:divsChild>
                    <w:div w:id="1800687896">
                      <w:marLeft w:val="0"/>
                      <w:marRight w:val="0"/>
                      <w:marTop w:val="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sChild>
                            <w:div w:id="762454222">
                              <w:marLeft w:val="0"/>
                              <w:marRight w:val="0"/>
                              <w:marTop w:val="0"/>
                              <w:marBottom w:val="0"/>
                              <w:divBdr>
                                <w:top w:val="none" w:sz="0" w:space="0" w:color="auto"/>
                                <w:left w:val="none" w:sz="0" w:space="0" w:color="auto"/>
                                <w:bottom w:val="none" w:sz="0" w:space="0" w:color="auto"/>
                                <w:right w:val="none" w:sz="0" w:space="0" w:color="auto"/>
                              </w:divBdr>
                              <w:divsChild>
                                <w:div w:id="848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314">
                          <w:marLeft w:val="0"/>
                          <w:marRight w:val="0"/>
                          <w:marTop w:val="0"/>
                          <w:marBottom w:val="0"/>
                          <w:divBdr>
                            <w:top w:val="none" w:sz="0" w:space="0" w:color="auto"/>
                            <w:left w:val="none" w:sz="0" w:space="0" w:color="auto"/>
                            <w:bottom w:val="none" w:sz="0" w:space="0" w:color="auto"/>
                            <w:right w:val="none" w:sz="0" w:space="0" w:color="auto"/>
                          </w:divBdr>
                          <w:divsChild>
                            <w:div w:id="1959947238">
                              <w:marLeft w:val="0"/>
                              <w:marRight w:val="0"/>
                              <w:marTop w:val="0"/>
                              <w:marBottom w:val="0"/>
                              <w:divBdr>
                                <w:top w:val="none" w:sz="0" w:space="0" w:color="auto"/>
                                <w:left w:val="none" w:sz="0" w:space="0" w:color="auto"/>
                                <w:bottom w:val="none" w:sz="0" w:space="0" w:color="auto"/>
                                <w:right w:val="none" w:sz="0" w:space="0" w:color="auto"/>
                              </w:divBdr>
                              <w:divsChild>
                                <w:div w:id="1826505616">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8210">
      <w:bodyDiv w:val="1"/>
      <w:marLeft w:val="0"/>
      <w:marRight w:val="0"/>
      <w:marTop w:val="0"/>
      <w:marBottom w:val="0"/>
      <w:divBdr>
        <w:top w:val="none" w:sz="0" w:space="0" w:color="auto"/>
        <w:left w:val="none" w:sz="0" w:space="0" w:color="auto"/>
        <w:bottom w:val="none" w:sz="0" w:space="0" w:color="auto"/>
        <w:right w:val="none" w:sz="0" w:space="0" w:color="auto"/>
      </w:divBdr>
    </w:div>
    <w:div w:id="1624654107">
      <w:bodyDiv w:val="1"/>
      <w:marLeft w:val="0"/>
      <w:marRight w:val="0"/>
      <w:marTop w:val="0"/>
      <w:marBottom w:val="0"/>
      <w:divBdr>
        <w:top w:val="none" w:sz="0" w:space="0" w:color="auto"/>
        <w:left w:val="none" w:sz="0" w:space="0" w:color="auto"/>
        <w:bottom w:val="none" w:sz="0" w:space="0" w:color="auto"/>
        <w:right w:val="none" w:sz="0" w:space="0" w:color="auto"/>
      </w:divBdr>
    </w:div>
    <w:div w:id="1629437786">
      <w:bodyDiv w:val="1"/>
      <w:marLeft w:val="0"/>
      <w:marRight w:val="0"/>
      <w:marTop w:val="0"/>
      <w:marBottom w:val="0"/>
      <w:divBdr>
        <w:top w:val="none" w:sz="0" w:space="0" w:color="auto"/>
        <w:left w:val="none" w:sz="0" w:space="0" w:color="auto"/>
        <w:bottom w:val="none" w:sz="0" w:space="0" w:color="auto"/>
        <w:right w:val="none" w:sz="0" w:space="0" w:color="auto"/>
      </w:divBdr>
      <w:divsChild>
        <w:div w:id="1656835020">
          <w:marLeft w:val="0"/>
          <w:marRight w:val="0"/>
          <w:marTop w:val="0"/>
          <w:marBottom w:val="0"/>
          <w:divBdr>
            <w:top w:val="none" w:sz="0" w:space="0" w:color="auto"/>
            <w:left w:val="none" w:sz="0" w:space="0" w:color="auto"/>
            <w:bottom w:val="none" w:sz="0" w:space="0" w:color="auto"/>
            <w:right w:val="none" w:sz="0" w:space="0" w:color="auto"/>
          </w:divBdr>
          <w:divsChild>
            <w:div w:id="830607107">
              <w:marLeft w:val="0"/>
              <w:marRight w:val="0"/>
              <w:marTop w:val="0"/>
              <w:marBottom w:val="0"/>
              <w:divBdr>
                <w:top w:val="none" w:sz="0" w:space="0" w:color="auto"/>
                <w:left w:val="none" w:sz="0" w:space="0" w:color="auto"/>
                <w:bottom w:val="none" w:sz="0" w:space="0" w:color="auto"/>
                <w:right w:val="none" w:sz="0" w:space="0" w:color="auto"/>
              </w:divBdr>
              <w:divsChild>
                <w:div w:id="2036884488">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5790">
      <w:bodyDiv w:val="1"/>
      <w:marLeft w:val="0"/>
      <w:marRight w:val="0"/>
      <w:marTop w:val="0"/>
      <w:marBottom w:val="0"/>
      <w:divBdr>
        <w:top w:val="none" w:sz="0" w:space="0" w:color="auto"/>
        <w:left w:val="none" w:sz="0" w:space="0" w:color="auto"/>
        <w:bottom w:val="none" w:sz="0" w:space="0" w:color="auto"/>
        <w:right w:val="none" w:sz="0" w:space="0" w:color="auto"/>
      </w:divBdr>
      <w:divsChild>
        <w:div w:id="1049916954">
          <w:marLeft w:val="0"/>
          <w:marRight w:val="0"/>
          <w:marTop w:val="0"/>
          <w:marBottom w:val="0"/>
          <w:divBdr>
            <w:top w:val="none" w:sz="0" w:space="0" w:color="auto"/>
            <w:left w:val="none" w:sz="0" w:space="0" w:color="auto"/>
            <w:bottom w:val="none" w:sz="0" w:space="0" w:color="auto"/>
            <w:right w:val="none" w:sz="0" w:space="0" w:color="auto"/>
          </w:divBdr>
          <w:divsChild>
            <w:div w:id="1464738019">
              <w:marLeft w:val="0"/>
              <w:marRight w:val="0"/>
              <w:marTop w:val="0"/>
              <w:marBottom w:val="0"/>
              <w:divBdr>
                <w:top w:val="none" w:sz="0" w:space="0" w:color="auto"/>
                <w:left w:val="none" w:sz="0" w:space="0" w:color="auto"/>
                <w:bottom w:val="none" w:sz="0" w:space="0" w:color="auto"/>
                <w:right w:val="none" w:sz="0" w:space="0" w:color="auto"/>
              </w:divBdr>
              <w:divsChild>
                <w:div w:id="1385324276">
                  <w:marLeft w:val="0"/>
                  <w:marRight w:val="0"/>
                  <w:marTop w:val="0"/>
                  <w:marBottom w:val="0"/>
                  <w:divBdr>
                    <w:top w:val="none" w:sz="0" w:space="0" w:color="auto"/>
                    <w:left w:val="none" w:sz="0" w:space="0" w:color="auto"/>
                    <w:bottom w:val="none" w:sz="0" w:space="0" w:color="auto"/>
                    <w:right w:val="none" w:sz="0" w:space="0" w:color="auto"/>
                  </w:divBdr>
                  <w:divsChild>
                    <w:div w:id="1887250644">
                      <w:marLeft w:val="0"/>
                      <w:marRight w:val="0"/>
                      <w:marTop w:val="0"/>
                      <w:marBottom w:val="0"/>
                      <w:divBdr>
                        <w:top w:val="none" w:sz="0" w:space="0" w:color="auto"/>
                        <w:left w:val="none" w:sz="0" w:space="0" w:color="auto"/>
                        <w:bottom w:val="none" w:sz="0" w:space="0" w:color="auto"/>
                        <w:right w:val="none" w:sz="0" w:space="0" w:color="auto"/>
                      </w:divBdr>
                      <w:divsChild>
                        <w:div w:id="525796045">
                          <w:marLeft w:val="0"/>
                          <w:marRight w:val="0"/>
                          <w:marTop w:val="0"/>
                          <w:marBottom w:val="0"/>
                          <w:divBdr>
                            <w:top w:val="none" w:sz="0" w:space="0" w:color="auto"/>
                            <w:left w:val="none" w:sz="0" w:space="0" w:color="auto"/>
                            <w:bottom w:val="none" w:sz="0" w:space="0" w:color="auto"/>
                            <w:right w:val="none" w:sz="0" w:space="0" w:color="auto"/>
                          </w:divBdr>
                          <w:divsChild>
                            <w:div w:id="1945916716">
                              <w:marLeft w:val="0"/>
                              <w:marRight w:val="0"/>
                              <w:marTop w:val="0"/>
                              <w:marBottom w:val="0"/>
                              <w:divBdr>
                                <w:top w:val="none" w:sz="0" w:space="0" w:color="auto"/>
                                <w:left w:val="none" w:sz="0" w:space="0" w:color="auto"/>
                                <w:bottom w:val="none" w:sz="0" w:space="0" w:color="auto"/>
                                <w:right w:val="none" w:sz="0" w:space="0" w:color="auto"/>
                              </w:divBdr>
                              <w:divsChild>
                                <w:div w:id="260183258">
                                  <w:marLeft w:val="0"/>
                                  <w:marRight w:val="0"/>
                                  <w:marTop w:val="0"/>
                                  <w:marBottom w:val="0"/>
                                  <w:divBdr>
                                    <w:top w:val="none" w:sz="0" w:space="0" w:color="auto"/>
                                    <w:left w:val="none" w:sz="0" w:space="0" w:color="auto"/>
                                    <w:bottom w:val="none" w:sz="0" w:space="0" w:color="auto"/>
                                    <w:right w:val="none" w:sz="0" w:space="0" w:color="auto"/>
                                  </w:divBdr>
                                  <w:divsChild>
                                    <w:div w:id="622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796">
                          <w:marLeft w:val="0"/>
                          <w:marRight w:val="0"/>
                          <w:marTop w:val="0"/>
                          <w:marBottom w:val="0"/>
                          <w:divBdr>
                            <w:top w:val="none" w:sz="0" w:space="0" w:color="auto"/>
                            <w:left w:val="none" w:sz="0" w:space="0" w:color="auto"/>
                            <w:bottom w:val="none" w:sz="0" w:space="0" w:color="auto"/>
                            <w:right w:val="none" w:sz="0" w:space="0" w:color="auto"/>
                          </w:divBdr>
                          <w:divsChild>
                            <w:div w:id="1705405107">
                              <w:marLeft w:val="0"/>
                              <w:marRight w:val="0"/>
                              <w:marTop w:val="0"/>
                              <w:marBottom w:val="0"/>
                              <w:divBdr>
                                <w:top w:val="none" w:sz="0" w:space="0" w:color="auto"/>
                                <w:left w:val="none" w:sz="0" w:space="0" w:color="auto"/>
                                <w:bottom w:val="none" w:sz="0" w:space="0" w:color="auto"/>
                                <w:right w:val="none" w:sz="0" w:space="0" w:color="auto"/>
                              </w:divBdr>
                              <w:divsChild>
                                <w:div w:id="1963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487941">
      <w:bodyDiv w:val="1"/>
      <w:marLeft w:val="0"/>
      <w:marRight w:val="0"/>
      <w:marTop w:val="0"/>
      <w:marBottom w:val="0"/>
      <w:divBdr>
        <w:top w:val="none" w:sz="0" w:space="0" w:color="auto"/>
        <w:left w:val="none" w:sz="0" w:space="0" w:color="auto"/>
        <w:bottom w:val="none" w:sz="0" w:space="0" w:color="auto"/>
        <w:right w:val="none" w:sz="0" w:space="0" w:color="auto"/>
      </w:divBdr>
      <w:divsChild>
        <w:div w:id="320744030">
          <w:marLeft w:val="0"/>
          <w:marRight w:val="0"/>
          <w:marTop w:val="0"/>
          <w:marBottom w:val="0"/>
          <w:divBdr>
            <w:top w:val="none" w:sz="0" w:space="0" w:color="auto"/>
            <w:left w:val="none" w:sz="0" w:space="0" w:color="auto"/>
            <w:bottom w:val="none" w:sz="0" w:space="0" w:color="auto"/>
            <w:right w:val="none" w:sz="0" w:space="0" w:color="auto"/>
          </w:divBdr>
        </w:div>
        <w:div w:id="667292263">
          <w:marLeft w:val="0"/>
          <w:marRight w:val="0"/>
          <w:marTop w:val="0"/>
          <w:marBottom w:val="0"/>
          <w:divBdr>
            <w:top w:val="none" w:sz="0" w:space="0" w:color="auto"/>
            <w:left w:val="none" w:sz="0" w:space="0" w:color="auto"/>
            <w:bottom w:val="none" w:sz="0" w:space="0" w:color="auto"/>
            <w:right w:val="none" w:sz="0" w:space="0" w:color="auto"/>
          </w:divBdr>
        </w:div>
        <w:div w:id="825901636">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26962144">
          <w:marLeft w:val="0"/>
          <w:marRight w:val="0"/>
          <w:marTop w:val="0"/>
          <w:marBottom w:val="0"/>
          <w:divBdr>
            <w:top w:val="none" w:sz="0" w:space="0" w:color="auto"/>
            <w:left w:val="none" w:sz="0" w:space="0" w:color="auto"/>
            <w:bottom w:val="none" w:sz="0" w:space="0" w:color="auto"/>
            <w:right w:val="none" w:sz="0" w:space="0" w:color="auto"/>
          </w:divBdr>
        </w:div>
        <w:div w:id="1680500402">
          <w:marLeft w:val="0"/>
          <w:marRight w:val="0"/>
          <w:marTop w:val="0"/>
          <w:marBottom w:val="0"/>
          <w:divBdr>
            <w:top w:val="none" w:sz="0" w:space="0" w:color="auto"/>
            <w:left w:val="none" w:sz="0" w:space="0" w:color="auto"/>
            <w:bottom w:val="none" w:sz="0" w:space="0" w:color="auto"/>
            <w:right w:val="none" w:sz="0" w:space="0" w:color="auto"/>
          </w:divBdr>
        </w:div>
        <w:div w:id="1718626900">
          <w:marLeft w:val="0"/>
          <w:marRight w:val="0"/>
          <w:marTop w:val="0"/>
          <w:marBottom w:val="0"/>
          <w:divBdr>
            <w:top w:val="none" w:sz="0" w:space="0" w:color="auto"/>
            <w:left w:val="none" w:sz="0" w:space="0" w:color="auto"/>
            <w:bottom w:val="none" w:sz="0" w:space="0" w:color="auto"/>
            <w:right w:val="none" w:sz="0" w:space="0" w:color="auto"/>
          </w:divBdr>
        </w:div>
      </w:divsChild>
    </w:div>
    <w:div w:id="1660689164">
      <w:bodyDiv w:val="1"/>
      <w:marLeft w:val="0"/>
      <w:marRight w:val="0"/>
      <w:marTop w:val="0"/>
      <w:marBottom w:val="0"/>
      <w:divBdr>
        <w:top w:val="none" w:sz="0" w:space="0" w:color="auto"/>
        <w:left w:val="none" w:sz="0" w:space="0" w:color="auto"/>
        <w:bottom w:val="none" w:sz="0" w:space="0" w:color="auto"/>
        <w:right w:val="none" w:sz="0" w:space="0" w:color="auto"/>
      </w:divBdr>
      <w:divsChild>
        <w:div w:id="40784481">
          <w:marLeft w:val="0"/>
          <w:marRight w:val="0"/>
          <w:marTop w:val="0"/>
          <w:marBottom w:val="0"/>
          <w:divBdr>
            <w:top w:val="none" w:sz="0" w:space="0" w:color="auto"/>
            <w:left w:val="none" w:sz="0" w:space="0" w:color="auto"/>
            <w:bottom w:val="none" w:sz="0" w:space="0" w:color="auto"/>
            <w:right w:val="none" w:sz="0" w:space="0" w:color="auto"/>
          </w:divBdr>
          <w:divsChild>
            <w:div w:id="910312973">
              <w:marLeft w:val="0"/>
              <w:marRight w:val="0"/>
              <w:marTop w:val="0"/>
              <w:marBottom w:val="0"/>
              <w:divBdr>
                <w:top w:val="none" w:sz="0" w:space="0" w:color="auto"/>
                <w:left w:val="none" w:sz="0" w:space="0" w:color="auto"/>
                <w:bottom w:val="none" w:sz="0" w:space="0" w:color="auto"/>
                <w:right w:val="none" w:sz="0" w:space="0" w:color="auto"/>
              </w:divBdr>
            </w:div>
          </w:divsChild>
        </w:div>
        <w:div w:id="108818427">
          <w:marLeft w:val="0"/>
          <w:marRight w:val="0"/>
          <w:marTop w:val="0"/>
          <w:marBottom w:val="0"/>
          <w:divBdr>
            <w:top w:val="none" w:sz="0" w:space="0" w:color="auto"/>
            <w:left w:val="none" w:sz="0" w:space="0" w:color="auto"/>
            <w:bottom w:val="none" w:sz="0" w:space="0" w:color="auto"/>
            <w:right w:val="none" w:sz="0" w:space="0" w:color="auto"/>
          </w:divBdr>
          <w:divsChild>
            <w:div w:id="362093497">
              <w:marLeft w:val="0"/>
              <w:marRight w:val="0"/>
              <w:marTop w:val="0"/>
              <w:marBottom w:val="0"/>
              <w:divBdr>
                <w:top w:val="none" w:sz="0" w:space="0" w:color="auto"/>
                <w:left w:val="none" w:sz="0" w:space="0" w:color="auto"/>
                <w:bottom w:val="none" w:sz="0" w:space="0" w:color="auto"/>
                <w:right w:val="none" w:sz="0" w:space="0" w:color="auto"/>
              </w:divBdr>
            </w:div>
          </w:divsChild>
        </w:div>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
          </w:divsChild>
        </w:div>
        <w:div w:id="364254071">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sChild>
        <w:div w:id="221984334">
          <w:marLeft w:val="0"/>
          <w:marRight w:val="0"/>
          <w:marTop w:val="0"/>
          <w:marBottom w:val="0"/>
          <w:divBdr>
            <w:top w:val="none" w:sz="0" w:space="0" w:color="auto"/>
            <w:left w:val="none" w:sz="0" w:space="0" w:color="auto"/>
            <w:bottom w:val="none" w:sz="0" w:space="0" w:color="auto"/>
            <w:right w:val="none" w:sz="0" w:space="0" w:color="auto"/>
          </w:divBdr>
          <w:divsChild>
            <w:div w:id="153762036">
              <w:marLeft w:val="0"/>
              <w:marRight w:val="0"/>
              <w:marTop w:val="0"/>
              <w:marBottom w:val="0"/>
              <w:divBdr>
                <w:top w:val="none" w:sz="0" w:space="0" w:color="auto"/>
                <w:left w:val="none" w:sz="0" w:space="0" w:color="auto"/>
                <w:bottom w:val="none" w:sz="0" w:space="0" w:color="auto"/>
                <w:right w:val="none" w:sz="0" w:space="0" w:color="auto"/>
              </w:divBdr>
              <w:divsChild>
                <w:div w:id="1426221307">
                  <w:marLeft w:val="0"/>
                  <w:marRight w:val="0"/>
                  <w:marTop w:val="0"/>
                  <w:marBottom w:val="0"/>
                  <w:divBdr>
                    <w:top w:val="none" w:sz="0" w:space="0" w:color="auto"/>
                    <w:left w:val="none" w:sz="0" w:space="0" w:color="auto"/>
                    <w:bottom w:val="none" w:sz="0" w:space="0" w:color="auto"/>
                    <w:right w:val="none" w:sz="0" w:space="0" w:color="auto"/>
                  </w:divBdr>
                  <w:divsChild>
                    <w:div w:id="14939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221">
      <w:bodyDiv w:val="1"/>
      <w:marLeft w:val="0"/>
      <w:marRight w:val="0"/>
      <w:marTop w:val="0"/>
      <w:marBottom w:val="0"/>
      <w:divBdr>
        <w:top w:val="none" w:sz="0" w:space="0" w:color="auto"/>
        <w:left w:val="none" w:sz="0" w:space="0" w:color="auto"/>
        <w:bottom w:val="none" w:sz="0" w:space="0" w:color="auto"/>
        <w:right w:val="none" w:sz="0" w:space="0" w:color="auto"/>
      </w:divBdr>
    </w:div>
    <w:div w:id="1713264967">
      <w:bodyDiv w:val="1"/>
      <w:marLeft w:val="0"/>
      <w:marRight w:val="0"/>
      <w:marTop w:val="0"/>
      <w:marBottom w:val="0"/>
      <w:divBdr>
        <w:top w:val="none" w:sz="0" w:space="0" w:color="auto"/>
        <w:left w:val="none" w:sz="0" w:space="0" w:color="auto"/>
        <w:bottom w:val="none" w:sz="0" w:space="0" w:color="auto"/>
        <w:right w:val="none" w:sz="0" w:space="0" w:color="auto"/>
      </w:divBdr>
    </w:div>
    <w:div w:id="1713919564">
      <w:bodyDiv w:val="1"/>
      <w:marLeft w:val="0"/>
      <w:marRight w:val="0"/>
      <w:marTop w:val="0"/>
      <w:marBottom w:val="0"/>
      <w:divBdr>
        <w:top w:val="none" w:sz="0" w:space="0" w:color="auto"/>
        <w:left w:val="none" w:sz="0" w:space="0" w:color="auto"/>
        <w:bottom w:val="none" w:sz="0" w:space="0" w:color="auto"/>
        <w:right w:val="none" w:sz="0" w:space="0" w:color="auto"/>
      </w:divBdr>
      <w:divsChild>
        <w:div w:id="127742625">
          <w:marLeft w:val="0"/>
          <w:marRight w:val="0"/>
          <w:marTop w:val="0"/>
          <w:marBottom w:val="0"/>
          <w:divBdr>
            <w:top w:val="none" w:sz="0" w:space="0" w:color="auto"/>
            <w:left w:val="none" w:sz="0" w:space="0" w:color="auto"/>
            <w:bottom w:val="none" w:sz="0" w:space="0" w:color="auto"/>
            <w:right w:val="none" w:sz="0" w:space="0" w:color="auto"/>
          </w:divBdr>
          <w:divsChild>
            <w:div w:id="369956956">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2135361898">
              <w:marLeft w:val="0"/>
              <w:marRight w:val="0"/>
              <w:marTop w:val="0"/>
              <w:marBottom w:val="0"/>
              <w:divBdr>
                <w:top w:val="none" w:sz="0" w:space="0" w:color="auto"/>
                <w:left w:val="none" w:sz="0" w:space="0" w:color="auto"/>
                <w:bottom w:val="none" w:sz="0" w:space="0" w:color="auto"/>
                <w:right w:val="none" w:sz="0" w:space="0" w:color="auto"/>
              </w:divBdr>
            </w:div>
          </w:divsChild>
        </w:div>
        <w:div w:id="1487281668">
          <w:marLeft w:val="0"/>
          <w:marRight w:val="0"/>
          <w:marTop w:val="0"/>
          <w:marBottom w:val="0"/>
          <w:divBdr>
            <w:top w:val="none" w:sz="0" w:space="0" w:color="auto"/>
            <w:left w:val="none" w:sz="0" w:space="0" w:color="auto"/>
            <w:bottom w:val="none" w:sz="0" w:space="0" w:color="auto"/>
            <w:right w:val="none" w:sz="0" w:space="0" w:color="auto"/>
          </w:divBdr>
          <w:divsChild>
            <w:div w:id="574365157">
              <w:marLeft w:val="0"/>
              <w:marRight w:val="0"/>
              <w:marTop w:val="0"/>
              <w:marBottom w:val="0"/>
              <w:divBdr>
                <w:top w:val="none" w:sz="0" w:space="0" w:color="auto"/>
                <w:left w:val="none" w:sz="0" w:space="0" w:color="auto"/>
                <w:bottom w:val="none" w:sz="0" w:space="0" w:color="auto"/>
                <w:right w:val="none" w:sz="0" w:space="0" w:color="auto"/>
              </w:divBdr>
            </w:div>
          </w:divsChild>
        </w:div>
        <w:div w:id="1582328445">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626">
      <w:bodyDiv w:val="1"/>
      <w:marLeft w:val="0"/>
      <w:marRight w:val="0"/>
      <w:marTop w:val="0"/>
      <w:marBottom w:val="0"/>
      <w:divBdr>
        <w:top w:val="none" w:sz="0" w:space="0" w:color="auto"/>
        <w:left w:val="none" w:sz="0" w:space="0" w:color="auto"/>
        <w:bottom w:val="none" w:sz="0" w:space="0" w:color="auto"/>
        <w:right w:val="none" w:sz="0" w:space="0" w:color="auto"/>
      </w:divBdr>
    </w:div>
    <w:div w:id="1755280298">
      <w:bodyDiv w:val="1"/>
      <w:marLeft w:val="0"/>
      <w:marRight w:val="0"/>
      <w:marTop w:val="0"/>
      <w:marBottom w:val="0"/>
      <w:divBdr>
        <w:top w:val="none" w:sz="0" w:space="0" w:color="auto"/>
        <w:left w:val="none" w:sz="0" w:space="0" w:color="auto"/>
        <w:bottom w:val="none" w:sz="0" w:space="0" w:color="auto"/>
        <w:right w:val="none" w:sz="0" w:space="0" w:color="auto"/>
      </w:divBdr>
    </w:div>
    <w:div w:id="1768235797">
      <w:bodyDiv w:val="1"/>
      <w:marLeft w:val="0"/>
      <w:marRight w:val="0"/>
      <w:marTop w:val="0"/>
      <w:marBottom w:val="0"/>
      <w:divBdr>
        <w:top w:val="none" w:sz="0" w:space="0" w:color="auto"/>
        <w:left w:val="none" w:sz="0" w:space="0" w:color="auto"/>
        <w:bottom w:val="none" w:sz="0" w:space="0" w:color="auto"/>
        <w:right w:val="none" w:sz="0" w:space="0" w:color="auto"/>
      </w:divBdr>
    </w:div>
    <w:div w:id="1783499826">
      <w:bodyDiv w:val="1"/>
      <w:marLeft w:val="0"/>
      <w:marRight w:val="0"/>
      <w:marTop w:val="0"/>
      <w:marBottom w:val="0"/>
      <w:divBdr>
        <w:top w:val="none" w:sz="0" w:space="0" w:color="auto"/>
        <w:left w:val="none" w:sz="0" w:space="0" w:color="auto"/>
        <w:bottom w:val="none" w:sz="0" w:space="0" w:color="auto"/>
        <w:right w:val="none" w:sz="0" w:space="0" w:color="auto"/>
      </w:divBdr>
      <w:divsChild>
        <w:div w:id="726684477">
          <w:marLeft w:val="0"/>
          <w:marRight w:val="0"/>
          <w:marTop w:val="0"/>
          <w:marBottom w:val="0"/>
          <w:divBdr>
            <w:top w:val="none" w:sz="0" w:space="0" w:color="auto"/>
            <w:left w:val="none" w:sz="0" w:space="0" w:color="auto"/>
            <w:bottom w:val="none" w:sz="0" w:space="0" w:color="auto"/>
            <w:right w:val="none" w:sz="0" w:space="0" w:color="auto"/>
          </w:divBdr>
          <w:divsChild>
            <w:div w:id="178546736">
              <w:marLeft w:val="0"/>
              <w:marRight w:val="0"/>
              <w:marTop w:val="0"/>
              <w:marBottom w:val="0"/>
              <w:divBdr>
                <w:top w:val="none" w:sz="0" w:space="0" w:color="auto"/>
                <w:left w:val="none" w:sz="0" w:space="0" w:color="auto"/>
                <w:bottom w:val="none" w:sz="0" w:space="0" w:color="auto"/>
                <w:right w:val="none" w:sz="0" w:space="0" w:color="auto"/>
              </w:divBdr>
              <w:divsChild>
                <w:div w:id="1204172404">
                  <w:marLeft w:val="0"/>
                  <w:marRight w:val="0"/>
                  <w:marTop w:val="0"/>
                  <w:marBottom w:val="0"/>
                  <w:divBdr>
                    <w:top w:val="none" w:sz="0" w:space="0" w:color="auto"/>
                    <w:left w:val="none" w:sz="0" w:space="0" w:color="auto"/>
                    <w:bottom w:val="none" w:sz="0" w:space="0" w:color="auto"/>
                    <w:right w:val="none" w:sz="0" w:space="0" w:color="auto"/>
                  </w:divBdr>
                  <w:divsChild>
                    <w:div w:id="2082288825">
                      <w:marLeft w:val="0"/>
                      <w:marRight w:val="0"/>
                      <w:marTop w:val="0"/>
                      <w:marBottom w:val="0"/>
                      <w:divBdr>
                        <w:top w:val="none" w:sz="0" w:space="0" w:color="auto"/>
                        <w:left w:val="none" w:sz="0" w:space="0" w:color="auto"/>
                        <w:bottom w:val="none" w:sz="0" w:space="0" w:color="auto"/>
                        <w:right w:val="none" w:sz="0" w:space="0" w:color="auto"/>
                      </w:divBdr>
                      <w:divsChild>
                        <w:div w:id="1105223076">
                          <w:marLeft w:val="0"/>
                          <w:marRight w:val="0"/>
                          <w:marTop w:val="0"/>
                          <w:marBottom w:val="0"/>
                          <w:divBdr>
                            <w:top w:val="none" w:sz="0" w:space="0" w:color="auto"/>
                            <w:left w:val="none" w:sz="0" w:space="0" w:color="auto"/>
                            <w:bottom w:val="none" w:sz="0" w:space="0" w:color="auto"/>
                            <w:right w:val="none" w:sz="0" w:space="0" w:color="auto"/>
                          </w:divBdr>
                          <w:divsChild>
                            <w:div w:id="1303535581">
                              <w:marLeft w:val="0"/>
                              <w:marRight w:val="0"/>
                              <w:marTop w:val="0"/>
                              <w:marBottom w:val="0"/>
                              <w:divBdr>
                                <w:top w:val="none" w:sz="0" w:space="0" w:color="auto"/>
                                <w:left w:val="none" w:sz="0" w:space="0" w:color="auto"/>
                                <w:bottom w:val="none" w:sz="0" w:space="0" w:color="auto"/>
                                <w:right w:val="none" w:sz="0" w:space="0" w:color="auto"/>
                              </w:divBdr>
                              <w:divsChild>
                                <w:div w:id="1652522432">
                                  <w:marLeft w:val="0"/>
                                  <w:marRight w:val="0"/>
                                  <w:marTop w:val="0"/>
                                  <w:marBottom w:val="0"/>
                                  <w:divBdr>
                                    <w:top w:val="none" w:sz="0" w:space="0" w:color="auto"/>
                                    <w:left w:val="none" w:sz="0" w:space="0" w:color="auto"/>
                                    <w:bottom w:val="none" w:sz="0" w:space="0" w:color="auto"/>
                                    <w:right w:val="none" w:sz="0" w:space="0" w:color="auto"/>
                                  </w:divBdr>
                                  <w:divsChild>
                                    <w:div w:id="2124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447054">
      <w:bodyDiv w:val="1"/>
      <w:marLeft w:val="0"/>
      <w:marRight w:val="0"/>
      <w:marTop w:val="0"/>
      <w:marBottom w:val="0"/>
      <w:divBdr>
        <w:top w:val="none" w:sz="0" w:space="0" w:color="auto"/>
        <w:left w:val="none" w:sz="0" w:space="0" w:color="auto"/>
        <w:bottom w:val="none" w:sz="0" w:space="0" w:color="auto"/>
        <w:right w:val="none" w:sz="0" w:space="0" w:color="auto"/>
      </w:divBdr>
    </w:div>
    <w:div w:id="1816216528">
      <w:bodyDiv w:val="1"/>
      <w:marLeft w:val="0"/>
      <w:marRight w:val="0"/>
      <w:marTop w:val="0"/>
      <w:marBottom w:val="0"/>
      <w:divBdr>
        <w:top w:val="none" w:sz="0" w:space="0" w:color="auto"/>
        <w:left w:val="none" w:sz="0" w:space="0" w:color="auto"/>
        <w:bottom w:val="none" w:sz="0" w:space="0" w:color="auto"/>
        <w:right w:val="none" w:sz="0" w:space="0" w:color="auto"/>
      </w:divBdr>
      <w:divsChild>
        <w:div w:id="471094888">
          <w:marLeft w:val="0"/>
          <w:marRight w:val="0"/>
          <w:marTop w:val="0"/>
          <w:marBottom w:val="0"/>
          <w:divBdr>
            <w:top w:val="none" w:sz="0" w:space="0" w:color="auto"/>
            <w:left w:val="none" w:sz="0" w:space="0" w:color="auto"/>
            <w:bottom w:val="none" w:sz="0" w:space="0" w:color="auto"/>
            <w:right w:val="none" w:sz="0" w:space="0" w:color="auto"/>
          </w:divBdr>
          <w:divsChild>
            <w:div w:id="1638140676">
              <w:marLeft w:val="0"/>
              <w:marRight w:val="0"/>
              <w:marTop w:val="0"/>
              <w:marBottom w:val="0"/>
              <w:divBdr>
                <w:top w:val="none" w:sz="0" w:space="0" w:color="auto"/>
                <w:left w:val="none" w:sz="0" w:space="0" w:color="auto"/>
                <w:bottom w:val="none" w:sz="0" w:space="0" w:color="auto"/>
                <w:right w:val="none" w:sz="0" w:space="0" w:color="auto"/>
              </w:divBdr>
              <w:divsChild>
                <w:div w:id="67966636">
                  <w:marLeft w:val="0"/>
                  <w:marRight w:val="0"/>
                  <w:marTop w:val="0"/>
                  <w:marBottom w:val="0"/>
                  <w:divBdr>
                    <w:top w:val="none" w:sz="0" w:space="0" w:color="auto"/>
                    <w:left w:val="none" w:sz="0" w:space="0" w:color="auto"/>
                    <w:bottom w:val="none" w:sz="0" w:space="0" w:color="auto"/>
                    <w:right w:val="none" w:sz="0" w:space="0" w:color="auto"/>
                  </w:divBdr>
                  <w:divsChild>
                    <w:div w:id="909272712">
                      <w:marLeft w:val="0"/>
                      <w:marRight w:val="0"/>
                      <w:marTop w:val="0"/>
                      <w:marBottom w:val="0"/>
                      <w:divBdr>
                        <w:top w:val="none" w:sz="0" w:space="0" w:color="auto"/>
                        <w:left w:val="none" w:sz="0" w:space="0" w:color="auto"/>
                        <w:bottom w:val="none" w:sz="0" w:space="0" w:color="auto"/>
                        <w:right w:val="none" w:sz="0" w:space="0" w:color="auto"/>
                      </w:divBdr>
                      <w:divsChild>
                        <w:div w:id="245069926">
                          <w:marLeft w:val="0"/>
                          <w:marRight w:val="0"/>
                          <w:marTop w:val="0"/>
                          <w:marBottom w:val="0"/>
                          <w:divBdr>
                            <w:top w:val="none" w:sz="0" w:space="0" w:color="auto"/>
                            <w:left w:val="none" w:sz="0" w:space="0" w:color="auto"/>
                            <w:bottom w:val="none" w:sz="0" w:space="0" w:color="auto"/>
                            <w:right w:val="none" w:sz="0" w:space="0" w:color="auto"/>
                          </w:divBdr>
                          <w:divsChild>
                            <w:div w:id="612595771">
                              <w:marLeft w:val="0"/>
                              <w:marRight w:val="0"/>
                              <w:marTop w:val="0"/>
                              <w:marBottom w:val="0"/>
                              <w:divBdr>
                                <w:top w:val="none" w:sz="0" w:space="0" w:color="auto"/>
                                <w:left w:val="none" w:sz="0" w:space="0" w:color="auto"/>
                                <w:bottom w:val="none" w:sz="0" w:space="0" w:color="auto"/>
                                <w:right w:val="none" w:sz="0" w:space="0" w:color="auto"/>
                              </w:divBdr>
                              <w:divsChild>
                                <w:div w:id="433669409">
                                  <w:marLeft w:val="0"/>
                                  <w:marRight w:val="0"/>
                                  <w:marTop w:val="0"/>
                                  <w:marBottom w:val="0"/>
                                  <w:divBdr>
                                    <w:top w:val="none" w:sz="0" w:space="0" w:color="auto"/>
                                    <w:left w:val="none" w:sz="0" w:space="0" w:color="auto"/>
                                    <w:bottom w:val="none" w:sz="0" w:space="0" w:color="auto"/>
                                    <w:right w:val="none" w:sz="0" w:space="0" w:color="auto"/>
                                  </w:divBdr>
                                  <w:divsChild>
                                    <w:div w:id="313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962">
                          <w:marLeft w:val="0"/>
                          <w:marRight w:val="0"/>
                          <w:marTop w:val="0"/>
                          <w:marBottom w:val="0"/>
                          <w:divBdr>
                            <w:top w:val="none" w:sz="0" w:space="0" w:color="auto"/>
                            <w:left w:val="none" w:sz="0" w:space="0" w:color="auto"/>
                            <w:bottom w:val="none" w:sz="0" w:space="0" w:color="auto"/>
                            <w:right w:val="none" w:sz="0" w:space="0" w:color="auto"/>
                          </w:divBdr>
                          <w:divsChild>
                            <w:div w:id="967661785">
                              <w:marLeft w:val="0"/>
                              <w:marRight w:val="0"/>
                              <w:marTop w:val="0"/>
                              <w:marBottom w:val="0"/>
                              <w:divBdr>
                                <w:top w:val="none" w:sz="0" w:space="0" w:color="auto"/>
                                <w:left w:val="none" w:sz="0" w:space="0" w:color="auto"/>
                                <w:bottom w:val="none" w:sz="0" w:space="0" w:color="auto"/>
                                <w:right w:val="none" w:sz="0" w:space="0" w:color="auto"/>
                              </w:divBdr>
                              <w:divsChild>
                                <w:div w:id="2147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091">
      <w:bodyDiv w:val="1"/>
      <w:marLeft w:val="0"/>
      <w:marRight w:val="0"/>
      <w:marTop w:val="0"/>
      <w:marBottom w:val="0"/>
      <w:divBdr>
        <w:top w:val="none" w:sz="0" w:space="0" w:color="auto"/>
        <w:left w:val="none" w:sz="0" w:space="0" w:color="auto"/>
        <w:bottom w:val="none" w:sz="0" w:space="0" w:color="auto"/>
        <w:right w:val="none" w:sz="0" w:space="0" w:color="auto"/>
      </w:divBdr>
      <w:divsChild>
        <w:div w:id="1877965302">
          <w:marLeft w:val="0"/>
          <w:marRight w:val="0"/>
          <w:marTop w:val="0"/>
          <w:marBottom w:val="0"/>
          <w:divBdr>
            <w:top w:val="none" w:sz="0" w:space="0" w:color="auto"/>
            <w:left w:val="none" w:sz="0" w:space="0" w:color="auto"/>
            <w:bottom w:val="none" w:sz="0" w:space="0" w:color="auto"/>
            <w:right w:val="none" w:sz="0" w:space="0" w:color="auto"/>
          </w:divBdr>
          <w:divsChild>
            <w:div w:id="465121930">
              <w:marLeft w:val="0"/>
              <w:marRight w:val="0"/>
              <w:marTop w:val="0"/>
              <w:marBottom w:val="0"/>
              <w:divBdr>
                <w:top w:val="none" w:sz="0" w:space="0" w:color="auto"/>
                <w:left w:val="none" w:sz="0" w:space="0" w:color="auto"/>
                <w:bottom w:val="none" w:sz="0" w:space="0" w:color="auto"/>
                <w:right w:val="none" w:sz="0" w:space="0" w:color="auto"/>
              </w:divBdr>
              <w:divsChild>
                <w:div w:id="1732730567">
                  <w:marLeft w:val="0"/>
                  <w:marRight w:val="0"/>
                  <w:marTop w:val="0"/>
                  <w:marBottom w:val="0"/>
                  <w:divBdr>
                    <w:top w:val="none" w:sz="0" w:space="0" w:color="auto"/>
                    <w:left w:val="none" w:sz="0" w:space="0" w:color="auto"/>
                    <w:bottom w:val="none" w:sz="0" w:space="0" w:color="auto"/>
                    <w:right w:val="none" w:sz="0" w:space="0" w:color="auto"/>
                  </w:divBdr>
                  <w:divsChild>
                    <w:div w:id="204624759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548419211">
                              <w:marLeft w:val="0"/>
                              <w:marRight w:val="0"/>
                              <w:marTop w:val="0"/>
                              <w:marBottom w:val="0"/>
                              <w:divBdr>
                                <w:top w:val="none" w:sz="0" w:space="0" w:color="auto"/>
                                <w:left w:val="none" w:sz="0" w:space="0" w:color="auto"/>
                                <w:bottom w:val="none" w:sz="0" w:space="0" w:color="auto"/>
                                <w:right w:val="none" w:sz="0" w:space="0" w:color="auto"/>
                              </w:divBdr>
                              <w:divsChild>
                                <w:div w:id="1840193449">
                                  <w:marLeft w:val="0"/>
                                  <w:marRight w:val="0"/>
                                  <w:marTop w:val="0"/>
                                  <w:marBottom w:val="0"/>
                                  <w:divBdr>
                                    <w:top w:val="none" w:sz="0" w:space="0" w:color="auto"/>
                                    <w:left w:val="none" w:sz="0" w:space="0" w:color="auto"/>
                                    <w:bottom w:val="none" w:sz="0" w:space="0" w:color="auto"/>
                                    <w:right w:val="none" w:sz="0" w:space="0" w:color="auto"/>
                                  </w:divBdr>
                                  <w:divsChild>
                                    <w:div w:id="6598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6852">
      <w:bodyDiv w:val="1"/>
      <w:marLeft w:val="0"/>
      <w:marRight w:val="0"/>
      <w:marTop w:val="0"/>
      <w:marBottom w:val="0"/>
      <w:divBdr>
        <w:top w:val="none" w:sz="0" w:space="0" w:color="auto"/>
        <w:left w:val="none" w:sz="0" w:space="0" w:color="auto"/>
        <w:bottom w:val="none" w:sz="0" w:space="0" w:color="auto"/>
        <w:right w:val="none" w:sz="0" w:space="0" w:color="auto"/>
      </w:divBdr>
    </w:div>
    <w:div w:id="1852140908">
      <w:bodyDiv w:val="1"/>
      <w:marLeft w:val="0"/>
      <w:marRight w:val="0"/>
      <w:marTop w:val="0"/>
      <w:marBottom w:val="0"/>
      <w:divBdr>
        <w:top w:val="none" w:sz="0" w:space="0" w:color="auto"/>
        <w:left w:val="none" w:sz="0" w:space="0" w:color="auto"/>
        <w:bottom w:val="none" w:sz="0" w:space="0" w:color="auto"/>
        <w:right w:val="none" w:sz="0" w:space="0" w:color="auto"/>
      </w:divBdr>
      <w:divsChild>
        <w:div w:id="335575840">
          <w:marLeft w:val="0"/>
          <w:marRight w:val="0"/>
          <w:marTop w:val="0"/>
          <w:marBottom w:val="0"/>
          <w:divBdr>
            <w:top w:val="none" w:sz="0" w:space="0" w:color="auto"/>
            <w:left w:val="none" w:sz="0" w:space="0" w:color="auto"/>
            <w:bottom w:val="none" w:sz="0" w:space="0" w:color="auto"/>
            <w:right w:val="none" w:sz="0" w:space="0" w:color="auto"/>
          </w:divBdr>
          <w:divsChild>
            <w:div w:id="1880849918">
              <w:marLeft w:val="0"/>
              <w:marRight w:val="0"/>
              <w:marTop w:val="0"/>
              <w:marBottom w:val="0"/>
              <w:divBdr>
                <w:top w:val="none" w:sz="0" w:space="0" w:color="auto"/>
                <w:left w:val="none" w:sz="0" w:space="0" w:color="auto"/>
                <w:bottom w:val="none" w:sz="0" w:space="0" w:color="auto"/>
                <w:right w:val="none" w:sz="0" w:space="0" w:color="auto"/>
              </w:divBdr>
            </w:div>
          </w:divsChild>
        </w:div>
        <w:div w:id="1247692618">
          <w:marLeft w:val="0"/>
          <w:marRight w:val="0"/>
          <w:marTop w:val="0"/>
          <w:marBottom w:val="0"/>
          <w:divBdr>
            <w:top w:val="none" w:sz="0" w:space="0" w:color="auto"/>
            <w:left w:val="none" w:sz="0" w:space="0" w:color="auto"/>
            <w:bottom w:val="none" w:sz="0" w:space="0" w:color="auto"/>
            <w:right w:val="none" w:sz="0" w:space="0" w:color="auto"/>
          </w:divBdr>
          <w:divsChild>
            <w:div w:id="1233585187">
              <w:marLeft w:val="0"/>
              <w:marRight w:val="0"/>
              <w:marTop w:val="0"/>
              <w:marBottom w:val="0"/>
              <w:divBdr>
                <w:top w:val="none" w:sz="0" w:space="0" w:color="auto"/>
                <w:left w:val="none" w:sz="0" w:space="0" w:color="auto"/>
                <w:bottom w:val="none" w:sz="0" w:space="0" w:color="auto"/>
                <w:right w:val="none" w:sz="0" w:space="0" w:color="auto"/>
              </w:divBdr>
            </w:div>
          </w:divsChild>
        </w:div>
        <w:div w:id="1681614965">
          <w:marLeft w:val="0"/>
          <w:marRight w:val="0"/>
          <w:marTop w:val="0"/>
          <w:marBottom w:val="0"/>
          <w:divBdr>
            <w:top w:val="none" w:sz="0" w:space="0" w:color="auto"/>
            <w:left w:val="none" w:sz="0" w:space="0" w:color="auto"/>
            <w:bottom w:val="none" w:sz="0" w:space="0" w:color="auto"/>
            <w:right w:val="none" w:sz="0" w:space="0" w:color="auto"/>
          </w:divBdr>
          <w:divsChild>
            <w:div w:id="1573079381">
              <w:marLeft w:val="0"/>
              <w:marRight w:val="0"/>
              <w:marTop w:val="0"/>
              <w:marBottom w:val="0"/>
              <w:divBdr>
                <w:top w:val="none" w:sz="0" w:space="0" w:color="auto"/>
                <w:left w:val="none" w:sz="0" w:space="0" w:color="auto"/>
                <w:bottom w:val="none" w:sz="0" w:space="0" w:color="auto"/>
                <w:right w:val="none" w:sz="0" w:space="0" w:color="auto"/>
              </w:divBdr>
            </w:div>
          </w:divsChild>
        </w:div>
        <w:div w:id="2056998811">
          <w:marLeft w:val="0"/>
          <w:marRight w:val="0"/>
          <w:marTop w:val="0"/>
          <w:marBottom w:val="0"/>
          <w:divBdr>
            <w:top w:val="none" w:sz="0" w:space="0" w:color="auto"/>
            <w:left w:val="none" w:sz="0" w:space="0" w:color="auto"/>
            <w:bottom w:val="none" w:sz="0" w:space="0" w:color="auto"/>
            <w:right w:val="none" w:sz="0" w:space="0" w:color="auto"/>
          </w:divBdr>
          <w:divsChild>
            <w:div w:id="363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433">
      <w:bodyDiv w:val="1"/>
      <w:marLeft w:val="0"/>
      <w:marRight w:val="0"/>
      <w:marTop w:val="0"/>
      <w:marBottom w:val="0"/>
      <w:divBdr>
        <w:top w:val="none" w:sz="0" w:space="0" w:color="auto"/>
        <w:left w:val="none" w:sz="0" w:space="0" w:color="auto"/>
        <w:bottom w:val="none" w:sz="0" w:space="0" w:color="auto"/>
        <w:right w:val="none" w:sz="0" w:space="0" w:color="auto"/>
      </w:divBdr>
    </w:div>
    <w:div w:id="1944651768">
      <w:bodyDiv w:val="1"/>
      <w:marLeft w:val="0"/>
      <w:marRight w:val="0"/>
      <w:marTop w:val="0"/>
      <w:marBottom w:val="0"/>
      <w:divBdr>
        <w:top w:val="none" w:sz="0" w:space="0" w:color="auto"/>
        <w:left w:val="none" w:sz="0" w:space="0" w:color="auto"/>
        <w:bottom w:val="none" w:sz="0" w:space="0" w:color="auto"/>
        <w:right w:val="none" w:sz="0" w:space="0" w:color="auto"/>
      </w:divBdr>
      <w:divsChild>
        <w:div w:id="338236904">
          <w:marLeft w:val="0"/>
          <w:marRight w:val="0"/>
          <w:marTop w:val="0"/>
          <w:marBottom w:val="0"/>
          <w:divBdr>
            <w:top w:val="none" w:sz="0" w:space="0" w:color="auto"/>
            <w:left w:val="none" w:sz="0" w:space="0" w:color="auto"/>
            <w:bottom w:val="none" w:sz="0" w:space="0" w:color="auto"/>
            <w:right w:val="none" w:sz="0" w:space="0" w:color="auto"/>
          </w:divBdr>
          <w:divsChild>
            <w:div w:id="87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65498375">
      <w:bodyDiv w:val="1"/>
      <w:marLeft w:val="0"/>
      <w:marRight w:val="0"/>
      <w:marTop w:val="0"/>
      <w:marBottom w:val="0"/>
      <w:divBdr>
        <w:top w:val="none" w:sz="0" w:space="0" w:color="auto"/>
        <w:left w:val="none" w:sz="0" w:space="0" w:color="auto"/>
        <w:bottom w:val="none" w:sz="0" w:space="0" w:color="auto"/>
        <w:right w:val="none" w:sz="0" w:space="0" w:color="auto"/>
      </w:divBdr>
    </w:div>
    <w:div w:id="2001616150">
      <w:bodyDiv w:val="1"/>
      <w:marLeft w:val="0"/>
      <w:marRight w:val="0"/>
      <w:marTop w:val="0"/>
      <w:marBottom w:val="0"/>
      <w:divBdr>
        <w:top w:val="none" w:sz="0" w:space="0" w:color="auto"/>
        <w:left w:val="none" w:sz="0" w:space="0" w:color="auto"/>
        <w:bottom w:val="none" w:sz="0" w:space="0" w:color="auto"/>
        <w:right w:val="none" w:sz="0" w:space="0" w:color="auto"/>
      </w:divBdr>
      <w:divsChild>
        <w:div w:id="267853959">
          <w:marLeft w:val="0"/>
          <w:marRight w:val="0"/>
          <w:marTop w:val="0"/>
          <w:marBottom w:val="0"/>
          <w:divBdr>
            <w:top w:val="none" w:sz="0" w:space="0" w:color="auto"/>
            <w:left w:val="none" w:sz="0" w:space="0" w:color="auto"/>
            <w:bottom w:val="none" w:sz="0" w:space="0" w:color="auto"/>
            <w:right w:val="none" w:sz="0" w:space="0" w:color="auto"/>
          </w:divBdr>
          <w:divsChild>
            <w:div w:id="2095545653">
              <w:marLeft w:val="0"/>
              <w:marRight w:val="0"/>
              <w:marTop w:val="0"/>
              <w:marBottom w:val="0"/>
              <w:divBdr>
                <w:top w:val="none" w:sz="0" w:space="0" w:color="auto"/>
                <w:left w:val="none" w:sz="0" w:space="0" w:color="auto"/>
                <w:bottom w:val="none" w:sz="0" w:space="0" w:color="auto"/>
                <w:right w:val="none" w:sz="0" w:space="0" w:color="auto"/>
              </w:divBdr>
              <w:divsChild>
                <w:div w:id="1845978229">
                  <w:marLeft w:val="0"/>
                  <w:marRight w:val="0"/>
                  <w:marTop w:val="0"/>
                  <w:marBottom w:val="0"/>
                  <w:divBdr>
                    <w:top w:val="none" w:sz="0" w:space="0" w:color="auto"/>
                    <w:left w:val="none" w:sz="0" w:space="0" w:color="auto"/>
                    <w:bottom w:val="none" w:sz="0" w:space="0" w:color="auto"/>
                    <w:right w:val="none" w:sz="0" w:space="0" w:color="auto"/>
                  </w:divBdr>
                  <w:divsChild>
                    <w:div w:id="702629162">
                      <w:marLeft w:val="0"/>
                      <w:marRight w:val="0"/>
                      <w:marTop w:val="0"/>
                      <w:marBottom w:val="0"/>
                      <w:divBdr>
                        <w:top w:val="none" w:sz="0" w:space="0" w:color="auto"/>
                        <w:left w:val="none" w:sz="0" w:space="0" w:color="auto"/>
                        <w:bottom w:val="none" w:sz="0" w:space="0" w:color="auto"/>
                        <w:right w:val="none" w:sz="0" w:space="0" w:color="auto"/>
                      </w:divBdr>
                      <w:divsChild>
                        <w:div w:id="865219516">
                          <w:marLeft w:val="0"/>
                          <w:marRight w:val="0"/>
                          <w:marTop w:val="0"/>
                          <w:marBottom w:val="0"/>
                          <w:divBdr>
                            <w:top w:val="none" w:sz="0" w:space="0" w:color="auto"/>
                            <w:left w:val="none" w:sz="0" w:space="0" w:color="auto"/>
                            <w:bottom w:val="none" w:sz="0" w:space="0" w:color="auto"/>
                            <w:right w:val="none" w:sz="0" w:space="0" w:color="auto"/>
                          </w:divBdr>
                          <w:divsChild>
                            <w:div w:id="2099208427">
                              <w:marLeft w:val="0"/>
                              <w:marRight w:val="0"/>
                              <w:marTop w:val="0"/>
                              <w:marBottom w:val="0"/>
                              <w:divBdr>
                                <w:top w:val="none" w:sz="0" w:space="0" w:color="auto"/>
                                <w:left w:val="none" w:sz="0" w:space="0" w:color="auto"/>
                                <w:bottom w:val="none" w:sz="0" w:space="0" w:color="auto"/>
                                <w:right w:val="none" w:sz="0" w:space="0" w:color="auto"/>
                              </w:divBdr>
                              <w:divsChild>
                                <w:div w:id="1437291335">
                                  <w:marLeft w:val="0"/>
                                  <w:marRight w:val="0"/>
                                  <w:marTop w:val="0"/>
                                  <w:marBottom w:val="0"/>
                                  <w:divBdr>
                                    <w:top w:val="none" w:sz="0" w:space="0" w:color="auto"/>
                                    <w:left w:val="none" w:sz="0" w:space="0" w:color="auto"/>
                                    <w:bottom w:val="none" w:sz="0" w:space="0" w:color="auto"/>
                                    <w:right w:val="none" w:sz="0" w:space="0" w:color="auto"/>
                                  </w:divBdr>
                                  <w:divsChild>
                                    <w:div w:id="127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13">
                          <w:marLeft w:val="0"/>
                          <w:marRight w:val="0"/>
                          <w:marTop w:val="0"/>
                          <w:marBottom w:val="0"/>
                          <w:divBdr>
                            <w:top w:val="none" w:sz="0" w:space="0" w:color="auto"/>
                            <w:left w:val="none" w:sz="0" w:space="0" w:color="auto"/>
                            <w:bottom w:val="none" w:sz="0" w:space="0" w:color="auto"/>
                            <w:right w:val="none" w:sz="0" w:space="0" w:color="auto"/>
                          </w:divBdr>
                          <w:divsChild>
                            <w:div w:id="411968634">
                              <w:marLeft w:val="0"/>
                              <w:marRight w:val="0"/>
                              <w:marTop w:val="0"/>
                              <w:marBottom w:val="0"/>
                              <w:divBdr>
                                <w:top w:val="none" w:sz="0" w:space="0" w:color="auto"/>
                                <w:left w:val="none" w:sz="0" w:space="0" w:color="auto"/>
                                <w:bottom w:val="none" w:sz="0" w:space="0" w:color="auto"/>
                                <w:right w:val="none" w:sz="0" w:space="0" w:color="auto"/>
                              </w:divBdr>
                              <w:divsChild>
                                <w:div w:id="1141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429">
      <w:bodyDiv w:val="1"/>
      <w:marLeft w:val="0"/>
      <w:marRight w:val="0"/>
      <w:marTop w:val="0"/>
      <w:marBottom w:val="0"/>
      <w:divBdr>
        <w:top w:val="none" w:sz="0" w:space="0" w:color="auto"/>
        <w:left w:val="none" w:sz="0" w:space="0" w:color="auto"/>
        <w:bottom w:val="none" w:sz="0" w:space="0" w:color="auto"/>
        <w:right w:val="none" w:sz="0" w:space="0" w:color="auto"/>
      </w:divBdr>
    </w:div>
    <w:div w:id="2019849137">
      <w:bodyDiv w:val="1"/>
      <w:marLeft w:val="0"/>
      <w:marRight w:val="0"/>
      <w:marTop w:val="0"/>
      <w:marBottom w:val="0"/>
      <w:divBdr>
        <w:top w:val="none" w:sz="0" w:space="0" w:color="auto"/>
        <w:left w:val="none" w:sz="0" w:space="0" w:color="auto"/>
        <w:bottom w:val="none" w:sz="0" w:space="0" w:color="auto"/>
        <w:right w:val="none" w:sz="0" w:space="0" w:color="auto"/>
      </w:divBdr>
      <w:divsChild>
        <w:div w:id="459997471">
          <w:marLeft w:val="0"/>
          <w:marRight w:val="0"/>
          <w:marTop w:val="0"/>
          <w:marBottom w:val="0"/>
          <w:divBdr>
            <w:top w:val="none" w:sz="0" w:space="0" w:color="auto"/>
            <w:left w:val="none" w:sz="0" w:space="0" w:color="auto"/>
            <w:bottom w:val="none" w:sz="0" w:space="0" w:color="auto"/>
            <w:right w:val="none" w:sz="0" w:space="0" w:color="auto"/>
          </w:divBdr>
          <w:divsChild>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396">
      <w:bodyDiv w:val="1"/>
      <w:marLeft w:val="0"/>
      <w:marRight w:val="0"/>
      <w:marTop w:val="0"/>
      <w:marBottom w:val="0"/>
      <w:divBdr>
        <w:top w:val="none" w:sz="0" w:space="0" w:color="auto"/>
        <w:left w:val="none" w:sz="0" w:space="0" w:color="auto"/>
        <w:bottom w:val="none" w:sz="0" w:space="0" w:color="auto"/>
        <w:right w:val="none" w:sz="0" w:space="0" w:color="auto"/>
      </w:divBdr>
      <w:divsChild>
        <w:div w:id="641471532">
          <w:marLeft w:val="0"/>
          <w:marRight w:val="0"/>
          <w:marTop w:val="0"/>
          <w:marBottom w:val="0"/>
          <w:divBdr>
            <w:top w:val="none" w:sz="0" w:space="0" w:color="auto"/>
            <w:left w:val="none" w:sz="0" w:space="0" w:color="auto"/>
            <w:bottom w:val="none" w:sz="0" w:space="0" w:color="auto"/>
            <w:right w:val="none" w:sz="0" w:space="0" w:color="auto"/>
          </w:divBdr>
          <w:divsChild>
            <w:div w:id="134029805">
              <w:marLeft w:val="0"/>
              <w:marRight w:val="0"/>
              <w:marTop w:val="0"/>
              <w:marBottom w:val="0"/>
              <w:divBdr>
                <w:top w:val="none" w:sz="0" w:space="0" w:color="auto"/>
                <w:left w:val="none" w:sz="0" w:space="0" w:color="auto"/>
                <w:bottom w:val="none" w:sz="0" w:space="0" w:color="auto"/>
                <w:right w:val="none" w:sz="0" w:space="0" w:color="auto"/>
              </w:divBdr>
              <w:divsChild>
                <w:div w:id="1471827720">
                  <w:marLeft w:val="0"/>
                  <w:marRight w:val="0"/>
                  <w:marTop w:val="0"/>
                  <w:marBottom w:val="0"/>
                  <w:divBdr>
                    <w:top w:val="none" w:sz="0" w:space="0" w:color="auto"/>
                    <w:left w:val="none" w:sz="0" w:space="0" w:color="auto"/>
                    <w:bottom w:val="none" w:sz="0" w:space="0" w:color="auto"/>
                    <w:right w:val="none" w:sz="0" w:space="0" w:color="auto"/>
                  </w:divBdr>
                  <w:divsChild>
                    <w:div w:id="5242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07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7734">
          <w:marLeft w:val="0"/>
          <w:marRight w:val="0"/>
          <w:marTop w:val="0"/>
          <w:marBottom w:val="0"/>
          <w:divBdr>
            <w:top w:val="none" w:sz="0" w:space="0" w:color="auto"/>
            <w:left w:val="none" w:sz="0" w:space="0" w:color="auto"/>
            <w:bottom w:val="none" w:sz="0" w:space="0" w:color="auto"/>
            <w:right w:val="none" w:sz="0" w:space="0" w:color="auto"/>
          </w:divBdr>
          <w:divsChild>
            <w:div w:id="1440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7">
      <w:bodyDiv w:val="1"/>
      <w:marLeft w:val="0"/>
      <w:marRight w:val="0"/>
      <w:marTop w:val="0"/>
      <w:marBottom w:val="0"/>
      <w:divBdr>
        <w:top w:val="none" w:sz="0" w:space="0" w:color="auto"/>
        <w:left w:val="none" w:sz="0" w:space="0" w:color="auto"/>
        <w:bottom w:val="none" w:sz="0" w:space="0" w:color="auto"/>
        <w:right w:val="none" w:sz="0" w:space="0" w:color="auto"/>
      </w:divBdr>
      <w:divsChild>
        <w:div w:id="999117283">
          <w:marLeft w:val="0"/>
          <w:marRight w:val="0"/>
          <w:marTop w:val="0"/>
          <w:marBottom w:val="0"/>
          <w:divBdr>
            <w:top w:val="none" w:sz="0" w:space="0" w:color="auto"/>
            <w:left w:val="none" w:sz="0" w:space="0" w:color="auto"/>
            <w:bottom w:val="none" w:sz="0" w:space="0" w:color="auto"/>
            <w:right w:val="none" w:sz="0" w:space="0" w:color="auto"/>
          </w:divBdr>
          <w:divsChild>
            <w:div w:id="1348747150">
              <w:marLeft w:val="0"/>
              <w:marRight w:val="0"/>
              <w:marTop w:val="0"/>
              <w:marBottom w:val="0"/>
              <w:divBdr>
                <w:top w:val="none" w:sz="0" w:space="0" w:color="auto"/>
                <w:left w:val="none" w:sz="0" w:space="0" w:color="auto"/>
                <w:bottom w:val="none" w:sz="0" w:space="0" w:color="auto"/>
                <w:right w:val="none" w:sz="0" w:space="0" w:color="auto"/>
              </w:divBdr>
              <w:divsChild>
                <w:div w:id="1889534878">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319578448">
                          <w:marLeft w:val="0"/>
                          <w:marRight w:val="0"/>
                          <w:marTop w:val="0"/>
                          <w:marBottom w:val="0"/>
                          <w:divBdr>
                            <w:top w:val="none" w:sz="0" w:space="0" w:color="auto"/>
                            <w:left w:val="none" w:sz="0" w:space="0" w:color="auto"/>
                            <w:bottom w:val="none" w:sz="0" w:space="0" w:color="auto"/>
                            <w:right w:val="none" w:sz="0" w:space="0" w:color="auto"/>
                          </w:divBdr>
                          <w:divsChild>
                            <w:div w:id="281347423">
                              <w:marLeft w:val="0"/>
                              <w:marRight w:val="0"/>
                              <w:marTop w:val="0"/>
                              <w:marBottom w:val="0"/>
                              <w:divBdr>
                                <w:top w:val="none" w:sz="0" w:space="0" w:color="auto"/>
                                <w:left w:val="none" w:sz="0" w:space="0" w:color="auto"/>
                                <w:bottom w:val="none" w:sz="0" w:space="0" w:color="auto"/>
                                <w:right w:val="none" w:sz="0" w:space="0" w:color="auto"/>
                              </w:divBdr>
                              <w:divsChild>
                                <w:div w:id="181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901">
                          <w:marLeft w:val="0"/>
                          <w:marRight w:val="0"/>
                          <w:marTop w:val="0"/>
                          <w:marBottom w:val="0"/>
                          <w:divBdr>
                            <w:top w:val="none" w:sz="0" w:space="0" w:color="auto"/>
                            <w:left w:val="none" w:sz="0" w:space="0" w:color="auto"/>
                            <w:bottom w:val="none" w:sz="0" w:space="0" w:color="auto"/>
                            <w:right w:val="none" w:sz="0" w:space="0" w:color="auto"/>
                          </w:divBdr>
                          <w:divsChild>
                            <w:div w:id="1466387036">
                              <w:marLeft w:val="0"/>
                              <w:marRight w:val="0"/>
                              <w:marTop w:val="0"/>
                              <w:marBottom w:val="0"/>
                              <w:divBdr>
                                <w:top w:val="none" w:sz="0" w:space="0" w:color="auto"/>
                                <w:left w:val="none" w:sz="0" w:space="0" w:color="auto"/>
                                <w:bottom w:val="none" w:sz="0" w:space="0" w:color="auto"/>
                                <w:right w:val="none" w:sz="0" w:space="0" w:color="auto"/>
                              </w:divBdr>
                              <w:divsChild>
                                <w:div w:id="1541044351">
                                  <w:marLeft w:val="0"/>
                                  <w:marRight w:val="0"/>
                                  <w:marTop w:val="0"/>
                                  <w:marBottom w:val="0"/>
                                  <w:divBdr>
                                    <w:top w:val="none" w:sz="0" w:space="0" w:color="auto"/>
                                    <w:left w:val="none" w:sz="0" w:space="0" w:color="auto"/>
                                    <w:bottom w:val="none" w:sz="0" w:space="0" w:color="auto"/>
                                    <w:right w:val="none" w:sz="0" w:space="0" w:color="auto"/>
                                  </w:divBdr>
                                  <w:divsChild>
                                    <w:div w:id="190806050">
                                      <w:marLeft w:val="0"/>
                                      <w:marRight w:val="0"/>
                                      <w:marTop w:val="0"/>
                                      <w:marBottom w:val="0"/>
                                      <w:divBdr>
                                        <w:top w:val="none" w:sz="0" w:space="0" w:color="auto"/>
                                        <w:left w:val="none" w:sz="0" w:space="0" w:color="auto"/>
                                        <w:bottom w:val="none" w:sz="0" w:space="0" w:color="auto"/>
                                        <w:right w:val="none" w:sz="0" w:space="0" w:color="auto"/>
                                      </w:divBdr>
                                      <w:divsChild>
                                        <w:div w:id="358167931">
                                          <w:marLeft w:val="0"/>
                                          <w:marRight w:val="0"/>
                                          <w:marTop w:val="0"/>
                                          <w:marBottom w:val="0"/>
                                          <w:divBdr>
                                            <w:top w:val="none" w:sz="0" w:space="0" w:color="auto"/>
                                            <w:left w:val="none" w:sz="0" w:space="0" w:color="auto"/>
                                            <w:bottom w:val="none" w:sz="0" w:space="0" w:color="auto"/>
                                            <w:right w:val="none" w:sz="0" w:space="0" w:color="auto"/>
                                          </w:divBdr>
                                        </w:div>
                                        <w:div w:id="1096704985">
                                          <w:marLeft w:val="0"/>
                                          <w:marRight w:val="0"/>
                                          <w:marTop w:val="0"/>
                                          <w:marBottom w:val="0"/>
                                          <w:divBdr>
                                            <w:top w:val="none" w:sz="0" w:space="0" w:color="auto"/>
                                            <w:left w:val="none" w:sz="0" w:space="0" w:color="auto"/>
                                            <w:bottom w:val="none" w:sz="0" w:space="0" w:color="auto"/>
                                            <w:right w:val="none" w:sz="0" w:space="0" w:color="auto"/>
                                          </w:divBdr>
                                        </w:div>
                                        <w:div w:id="1108499844">
                                          <w:marLeft w:val="0"/>
                                          <w:marRight w:val="0"/>
                                          <w:marTop w:val="0"/>
                                          <w:marBottom w:val="0"/>
                                          <w:divBdr>
                                            <w:top w:val="none" w:sz="0" w:space="0" w:color="auto"/>
                                            <w:left w:val="none" w:sz="0" w:space="0" w:color="auto"/>
                                            <w:bottom w:val="none" w:sz="0" w:space="0" w:color="auto"/>
                                            <w:right w:val="none" w:sz="0" w:space="0" w:color="auto"/>
                                          </w:divBdr>
                                        </w:div>
                                        <w:div w:id="1493058459">
                                          <w:marLeft w:val="0"/>
                                          <w:marRight w:val="0"/>
                                          <w:marTop w:val="0"/>
                                          <w:marBottom w:val="0"/>
                                          <w:divBdr>
                                            <w:top w:val="none" w:sz="0" w:space="0" w:color="auto"/>
                                            <w:left w:val="none" w:sz="0" w:space="0" w:color="auto"/>
                                            <w:bottom w:val="none" w:sz="0" w:space="0" w:color="auto"/>
                                            <w:right w:val="none" w:sz="0" w:space="0" w:color="auto"/>
                                          </w:divBdr>
                                        </w:div>
                                        <w:div w:id="1665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06269">
      <w:bodyDiv w:val="1"/>
      <w:marLeft w:val="0"/>
      <w:marRight w:val="0"/>
      <w:marTop w:val="0"/>
      <w:marBottom w:val="0"/>
      <w:divBdr>
        <w:top w:val="none" w:sz="0" w:space="0" w:color="auto"/>
        <w:left w:val="none" w:sz="0" w:space="0" w:color="auto"/>
        <w:bottom w:val="none" w:sz="0" w:space="0" w:color="auto"/>
        <w:right w:val="none" w:sz="0" w:space="0" w:color="auto"/>
      </w:divBdr>
      <w:divsChild>
        <w:div w:id="954673889">
          <w:marLeft w:val="0"/>
          <w:marRight w:val="0"/>
          <w:marTop w:val="0"/>
          <w:marBottom w:val="0"/>
          <w:divBdr>
            <w:top w:val="none" w:sz="0" w:space="0" w:color="auto"/>
            <w:left w:val="none" w:sz="0" w:space="0" w:color="auto"/>
            <w:bottom w:val="none" w:sz="0" w:space="0" w:color="auto"/>
            <w:right w:val="none" w:sz="0" w:space="0" w:color="auto"/>
          </w:divBdr>
          <w:divsChild>
            <w:div w:id="1267812722">
              <w:marLeft w:val="0"/>
              <w:marRight w:val="0"/>
              <w:marTop w:val="0"/>
              <w:marBottom w:val="0"/>
              <w:divBdr>
                <w:top w:val="none" w:sz="0" w:space="0" w:color="auto"/>
                <w:left w:val="none" w:sz="0" w:space="0" w:color="auto"/>
                <w:bottom w:val="none" w:sz="0" w:space="0" w:color="auto"/>
                <w:right w:val="none" w:sz="0" w:space="0" w:color="auto"/>
              </w:divBdr>
              <w:divsChild>
                <w:div w:id="688992795">
                  <w:marLeft w:val="0"/>
                  <w:marRight w:val="0"/>
                  <w:marTop w:val="0"/>
                  <w:marBottom w:val="0"/>
                  <w:divBdr>
                    <w:top w:val="none" w:sz="0" w:space="0" w:color="auto"/>
                    <w:left w:val="none" w:sz="0" w:space="0" w:color="auto"/>
                    <w:bottom w:val="none" w:sz="0" w:space="0" w:color="auto"/>
                    <w:right w:val="none" w:sz="0" w:space="0" w:color="auto"/>
                  </w:divBdr>
                  <w:divsChild>
                    <w:div w:id="11194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rlmc.com/index.php/home/article/view/200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lmi.edu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jhrlmc.com/index.php/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ilu%20prorect\1984%20JH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1D9B7-0B7B-4552-99A8-87130646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1984 JHRR.dotx</Template>
  <TotalTime>52</TotalTime>
  <Pages>9</Pages>
  <Words>5090</Words>
  <Characters>29018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dc:creator>
  <cp:keywords/>
  <dc:description/>
  <cp:lastModifiedBy>GEO</cp:lastModifiedBy>
  <cp:revision>2</cp:revision>
  <cp:lastPrinted>2026-04-24T11:38:00Z</cp:lastPrinted>
  <dcterms:created xsi:type="dcterms:W3CDTF">2026-06-04T09:26:00Z</dcterms:created>
  <dcterms:modified xsi:type="dcterms:W3CDTF">2026-06-04T10:19:00Z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2024-08-13T11:48:01Z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6069603d-73ad-4d41-82fd-56544ed2e7ce</vt:lpwstr>
  </property>
  <property fmtid="{D5CDD505-2E9C-101B-9397-08002B2CF9AE}" pid="8" name="MSIP_Label_defa4170-0d19-0005-0004-bc88714345d2_ContentBits">
    <vt:lpwstr>0</vt:lpwstr>
  </property>
</Properties>
</file>